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61FF" w14:textId="77777777" w:rsidR="007174CA" w:rsidRPr="00250BA5" w:rsidRDefault="007174CA" w:rsidP="00250BA5">
      <w:pPr>
        <w:pStyle w:val="SCSAY11-12Title1"/>
      </w:pPr>
      <w:r w:rsidRPr="00250BA5">
        <w:rPr>
          <w:rFonts w:ascii="Franklin Gothic Medium" w:hAnsi="Franklin Gothic Medium"/>
          <w:color w:val="463969"/>
          <w:sz w:val="52"/>
          <w:szCs w:val="52"/>
        </w:rPr>
        <w:drawing>
          <wp:anchor distT="0" distB="0" distL="114300" distR="114300" simplePos="0" relativeHeight="251659264" behindDoc="1" locked="1" layoutInCell="1" allowOverlap="1" wp14:anchorId="2320261E" wp14:editId="236321A5">
            <wp:simplePos x="0" y="0"/>
            <wp:positionH relativeFrom="column">
              <wp:posOffset>-6105525</wp:posOffset>
            </wp:positionH>
            <wp:positionV relativeFrom="paragraph">
              <wp:posOffset>553085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250BA5">
        <w:t>Sample Assessment Outline</w:t>
      </w:r>
    </w:p>
    <w:p w14:paraId="626F4DB3" w14:textId="77777777" w:rsidR="007174CA" w:rsidRPr="00250BA5" w:rsidRDefault="007174CA" w:rsidP="00250BA5">
      <w:pPr>
        <w:pStyle w:val="SCSAY11-12Title2"/>
      </w:pPr>
      <w:r w:rsidRPr="00250BA5">
        <w:t>Literature</w:t>
      </w:r>
    </w:p>
    <w:p w14:paraId="6304B29A" w14:textId="77777777" w:rsidR="007174CA" w:rsidRPr="00250BA5" w:rsidRDefault="007174CA" w:rsidP="00250BA5">
      <w:pPr>
        <w:pStyle w:val="SCSAY11-12Title3"/>
      </w:pPr>
      <w:r w:rsidRPr="00250BA5">
        <w:t>ATAR Year 11</w:t>
      </w:r>
    </w:p>
    <w:p w14:paraId="59C8FED2" w14:textId="77777777" w:rsidR="007174CA" w:rsidRPr="00250BA5" w:rsidRDefault="007174CA" w:rsidP="007174CA">
      <w:pPr>
        <w:spacing w:line="264" w:lineRule="auto"/>
        <w:rPr>
          <w:rFonts w:asciiTheme="majorHAnsi" w:hAnsiTheme="majorHAnsi" w:cstheme="majorHAnsi"/>
        </w:rPr>
      </w:pPr>
      <w:r w:rsidRPr="00250BA5">
        <w:rPr>
          <w:rFonts w:asciiTheme="majorHAnsi" w:hAnsiTheme="majorHAnsi" w:cstheme="majorHAnsi"/>
        </w:rPr>
        <w:br w:type="page"/>
      </w:r>
    </w:p>
    <w:p w14:paraId="611DCFBB" w14:textId="77777777" w:rsidR="00250BA5" w:rsidRPr="00250BA5" w:rsidRDefault="00250BA5" w:rsidP="00250BA5">
      <w:pPr>
        <w:keepNext/>
        <w:rPr>
          <w:rFonts w:eastAsia="SimHei" w:cs="Calibri"/>
          <w:b/>
        </w:rPr>
      </w:pPr>
      <w:r w:rsidRPr="00250BA5">
        <w:rPr>
          <w:rFonts w:eastAsia="SimHei" w:cs="Calibri"/>
          <w:b/>
        </w:rPr>
        <w:lastRenderedPageBreak/>
        <w:t>Acknowledgement of Country</w:t>
      </w:r>
    </w:p>
    <w:p w14:paraId="4FB71F83" w14:textId="77777777" w:rsidR="00250BA5" w:rsidRPr="00250BA5" w:rsidRDefault="00250BA5" w:rsidP="00250BA5">
      <w:pPr>
        <w:spacing w:after="6480"/>
      </w:pPr>
      <w:r w:rsidRPr="00250BA5">
        <w:t xml:space="preserve">Kaya. The School Curriculum and Standards Authority (the Authority) acknowledges that our offices are on Whadjuk Noongar </w:t>
      </w:r>
      <w:proofErr w:type="spellStart"/>
      <w:r w:rsidRPr="00250BA5">
        <w:t>boodjar</w:t>
      </w:r>
      <w:proofErr w:type="spellEnd"/>
      <w:r w:rsidRPr="00250BA5">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C7FE26A" w14:textId="77777777" w:rsidR="00773F4A" w:rsidRPr="00250BA5" w:rsidRDefault="00773F4A" w:rsidP="00250BA5">
      <w:pPr>
        <w:jc w:val="both"/>
        <w:rPr>
          <w:rFonts w:asciiTheme="majorHAnsi" w:hAnsiTheme="majorHAnsi" w:cstheme="majorHAnsi"/>
          <w:b/>
          <w:sz w:val="20"/>
          <w:szCs w:val="20"/>
        </w:rPr>
      </w:pPr>
      <w:r w:rsidRPr="00250BA5">
        <w:rPr>
          <w:rFonts w:asciiTheme="majorHAnsi" w:hAnsiTheme="majorHAnsi" w:cstheme="majorHAnsi"/>
          <w:b/>
          <w:sz w:val="20"/>
          <w:szCs w:val="20"/>
        </w:rPr>
        <w:t>Copyright</w:t>
      </w:r>
    </w:p>
    <w:p w14:paraId="111DC51E" w14:textId="77777777" w:rsidR="00773F4A" w:rsidRPr="00250BA5" w:rsidRDefault="00773F4A" w:rsidP="00250BA5">
      <w:pPr>
        <w:jc w:val="both"/>
        <w:rPr>
          <w:rFonts w:asciiTheme="majorHAnsi" w:hAnsiTheme="majorHAnsi" w:cstheme="majorHAnsi"/>
          <w:sz w:val="20"/>
          <w:szCs w:val="20"/>
        </w:rPr>
      </w:pPr>
      <w:r w:rsidRPr="00250BA5">
        <w:rPr>
          <w:rFonts w:asciiTheme="majorHAnsi" w:hAnsiTheme="majorHAnsi" w:cstheme="majorHAnsi"/>
          <w:sz w:val="20"/>
          <w:szCs w:val="20"/>
        </w:rPr>
        <w:t>© School Curriculum and Standards Authority, 2026</w:t>
      </w:r>
    </w:p>
    <w:p w14:paraId="3E1FC3C0" w14:textId="77777777" w:rsidR="00773F4A" w:rsidRPr="00250BA5" w:rsidRDefault="00773F4A" w:rsidP="00250BA5">
      <w:pPr>
        <w:rPr>
          <w:rFonts w:asciiTheme="majorHAnsi" w:hAnsiTheme="majorHAnsi" w:cstheme="majorHAnsi"/>
          <w:sz w:val="20"/>
          <w:szCs w:val="20"/>
        </w:rPr>
      </w:pPr>
      <w:r w:rsidRPr="00250BA5">
        <w:rPr>
          <w:rFonts w:asciiTheme="majorHAnsi" w:hAnsiTheme="majorHAnsi" w:cstheme="maj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A56AE6" w14:textId="77777777" w:rsidR="00773F4A" w:rsidRPr="00250BA5" w:rsidRDefault="00773F4A" w:rsidP="00250BA5">
      <w:pPr>
        <w:rPr>
          <w:rFonts w:asciiTheme="majorHAnsi" w:hAnsiTheme="majorHAnsi" w:cstheme="majorHAnsi"/>
          <w:sz w:val="20"/>
          <w:szCs w:val="20"/>
        </w:rPr>
      </w:pPr>
      <w:r w:rsidRPr="00250BA5">
        <w:rPr>
          <w:rFonts w:asciiTheme="majorHAnsi" w:hAnsiTheme="majorHAnsi" w:cstheme="majorHAnsi"/>
          <w:sz w:val="20"/>
          <w:szCs w:val="20"/>
        </w:rPr>
        <w:t>Copying or communication for any other purpose can be done only within the terms of the</w:t>
      </w:r>
      <w:r w:rsidRPr="00250BA5">
        <w:rPr>
          <w:rFonts w:asciiTheme="majorHAnsi" w:hAnsiTheme="majorHAnsi" w:cstheme="majorHAnsi"/>
          <w:i/>
          <w:iCs/>
          <w:sz w:val="20"/>
          <w:szCs w:val="20"/>
        </w:rPr>
        <w:t xml:space="preserve"> Copyright Act 1968</w:t>
      </w:r>
      <w:r w:rsidRPr="00250BA5">
        <w:rPr>
          <w:rFonts w:asciiTheme="majorHAnsi" w:hAnsiTheme="majorHAnsi" w:cstheme="majorHAnsi"/>
          <w:sz w:val="20"/>
          <w:szCs w:val="20"/>
        </w:rPr>
        <w:t xml:space="preserve"> or with prior written permission of the Authority. Copying or communication of any third-party copyright material can be done only within the terms of the </w:t>
      </w:r>
      <w:r w:rsidRPr="00250BA5">
        <w:rPr>
          <w:rFonts w:asciiTheme="majorHAnsi" w:hAnsiTheme="majorHAnsi" w:cstheme="majorHAnsi"/>
          <w:i/>
          <w:iCs/>
          <w:sz w:val="20"/>
          <w:szCs w:val="20"/>
        </w:rPr>
        <w:t>Copyright Act 1968</w:t>
      </w:r>
      <w:r w:rsidRPr="00250BA5">
        <w:rPr>
          <w:rFonts w:asciiTheme="majorHAnsi" w:hAnsiTheme="majorHAnsi" w:cstheme="majorHAnsi"/>
          <w:sz w:val="20"/>
          <w:szCs w:val="20"/>
        </w:rPr>
        <w:t xml:space="preserve"> or with permission of the copyright owners.</w:t>
      </w:r>
    </w:p>
    <w:p w14:paraId="5C02E4B3" w14:textId="77777777" w:rsidR="00773F4A" w:rsidRPr="00250BA5" w:rsidRDefault="00773F4A" w:rsidP="00250BA5">
      <w:pPr>
        <w:rPr>
          <w:rFonts w:asciiTheme="majorHAnsi" w:hAnsiTheme="majorHAnsi" w:cstheme="majorHAnsi"/>
          <w:sz w:val="20"/>
          <w:szCs w:val="20"/>
        </w:rPr>
      </w:pPr>
      <w:r w:rsidRPr="00250BA5">
        <w:rPr>
          <w:rFonts w:asciiTheme="majorHAnsi" w:hAnsiTheme="majorHAnsi" w:cstheme="majorHAnsi"/>
          <w:sz w:val="20"/>
          <w:szCs w:val="20"/>
        </w:rPr>
        <w:t xml:space="preserve">Any content in this document that has been derived from the Australian Curriculum may be used under the terms of the </w:t>
      </w:r>
      <w:hyperlink r:id="rId9" w:tgtFrame="_blank" w:history="1">
        <w:r w:rsidRPr="00250BA5">
          <w:rPr>
            <w:rFonts w:asciiTheme="majorHAnsi" w:hAnsiTheme="majorHAnsi" w:cstheme="majorHAnsi"/>
            <w:color w:val="580F8B"/>
            <w:sz w:val="20"/>
            <w:szCs w:val="20"/>
            <w:u w:val="single"/>
          </w:rPr>
          <w:t>Creative Commons Attribution 4.0 International licence</w:t>
        </w:r>
      </w:hyperlink>
      <w:r w:rsidRPr="00250BA5">
        <w:rPr>
          <w:rFonts w:asciiTheme="majorHAnsi" w:hAnsiTheme="majorHAnsi" w:cstheme="majorHAnsi"/>
          <w:sz w:val="20"/>
          <w:szCs w:val="20"/>
        </w:rPr>
        <w:t>.</w:t>
      </w:r>
    </w:p>
    <w:p w14:paraId="760C9D7C" w14:textId="77777777" w:rsidR="00773F4A" w:rsidRPr="00250BA5" w:rsidRDefault="00773F4A" w:rsidP="00250BA5">
      <w:pPr>
        <w:jc w:val="both"/>
        <w:rPr>
          <w:rFonts w:asciiTheme="majorHAnsi" w:hAnsiTheme="majorHAnsi" w:cstheme="majorHAnsi"/>
          <w:b/>
          <w:sz w:val="20"/>
          <w:szCs w:val="20"/>
        </w:rPr>
      </w:pPr>
      <w:r w:rsidRPr="00250BA5">
        <w:rPr>
          <w:rFonts w:asciiTheme="majorHAnsi" w:hAnsiTheme="majorHAnsi" w:cstheme="majorHAnsi"/>
          <w:b/>
          <w:sz w:val="20"/>
          <w:szCs w:val="20"/>
        </w:rPr>
        <w:t>Disclaimer</w:t>
      </w:r>
    </w:p>
    <w:p w14:paraId="10450152" w14:textId="5B0EB579" w:rsidR="007174CA" w:rsidRPr="00250BA5" w:rsidRDefault="00773F4A" w:rsidP="00250BA5">
      <w:pPr>
        <w:rPr>
          <w:rFonts w:asciiTheme="majorHAnsi" w:hAnsiTheme="majorHAnsi" w:cstheme="majorHAnsi"/>
          <w:sz w:val="20"/>
          <w:szCs w:val="20"/>
          <w:highlight w:val="yellow"/>
        </w:rPr>
      </w:pPr>
      <w:r w:rsidRPr="00250BA5">
        <w:rPr>
          <w:rFonts w:asciiTheme="majorHAnsi" w:hAnsiTheme="majorHAnsi" w:cstheme="majorHAnsi"/>
          <w:sz w:val="20"/>
          <w:szCs w:val="20"/>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42505E16" w14:textId="77777777" w:rsidR="007174CA" w:rsidRPr="00250BA5" w:rsidRDefault="007174CA" w:rsidP="007174CA">
      <w:pPr>
        <w:spacing w:line="264" w:lineRule="auto"/>
        <w:ind w:right="68"/>
        <w:jc w:val="both"/>
        <w:rPr>
          <w:rFonts w:ascii="Calibri" w:hAnsi="Calibri"/>
          <w:sz w:val="16"/>
        </w:rPr>
        <w:sectPr w:rsidR="007174CA" w:rsidRPr="00250BA5" w:rsidSect="00250BA5">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20364DC8" w14:textId="77777777" w:rsidR="00FC0AE1" w:rsidRPr="00250BA5" w:rsidRDefault="00FC0AE1" w:rsidP="00250BA5">
      <w:pPr>
        <w:pStyle w:val="SCSAY11-12Heading1"/>
        <w:rPr>
          <w:lang w:eastAsia="ja-JP"/>
        </w:rPr>
      </w:pPr>
      <w:r w:rsidRPr="00250BA5">
        <w:rPr>
          <w:lang w:eastAsia="ja-JP"/>
        </w:rPr>
        <w:lastRenderedPageBreak/>
        <w:t>Sample assessment outline</w:t>
      </w:r>
    </w:p>
    <w:p w14:paraId="5E52B8B0" w14:textId="77777777" w:rsidR="00FC0AE1" w:rsidRPr="00250BA5" w:rsidRDefault="00FC0AE1" w:rsidP="00250BA5">
      <w:pPr>
        <w:pStyle w:val="SCSAY11-12Heading1"/>
        <w:rPr>
          <w:lang w:eastAsia="ja-JP"/>
        </w:rPr>
      </w:pPr>
      <w:r w:rsidRPr="00250BA5">
        <w:rPr>
          <w:lang w:eastAsia="ja-JP"/>
        </w:rPr>
        <w:t>Literature – ATAR Year 11</w:t>
      </w:r>
    </w:p>
    <w:p w14:paraId="26841945" w14:textId="77777777" w:rsidR="00FC0AE1" w:rsidRPr="00250BA5" w:rsidRDefault="003B6479" w:rsidP="00250BA5">
      <w:pPr>
        <w:pStyle w:val="SCSAY11-12Heading2"/>
        <w:rPr>
          <w:lang w:eastAsia="ja-JP"/>
        </w:rPr>
      </w:pPr>
      <w:r w:rsidRPr="00250BA5">
        <w:rPr>
          <w:lang w:eastAsia="ja-JP"/>
        </w:rPr>
        <w:t>Unit</w:t>
      </w:r>
      <w:r w:rsidR="002964D6" w:rsidRPr="00250BA5">
        <w:rPr>
          <w:lang w:eastAsia="ja-JP"/>
        </w:rPr>
        <w:t>s</w:t>
      </w:r>
      <w:r w:rsidR="00FC0AE1" w:rsidRPr="00250BA5">
        <w:rPr>
          <w:lang w:eastAsia="ja-JP"/>
        </w:rPr>
        <w:t xml:space="preserve"> 1</w:t>
      </w:r>
      <w:r w:rsidR="002964D6" w:rsidRPr="00250BA5">
        <w:rPr>
          <w:lang w:eastAsia="ja-JP"/>
        </w:rPr>
        <w:t xml:space="preserve"> and 2</w:t>
      </w:r>
    </w:p>
    <w:tbl>
      <w:tblPr>
        <w:tblStyle w:val="SCSATable"/>
        <w:tblW w:w="5000" w:type="pct"/>
        <w:tblLayout w:type="fixed"/>
        <w:tblCellMar>
          <w:top w:w="28" w:type="dxa"/>
          <w:bottom w:w="28" w:type="dxa"/>
        </w:tblCellMar>
        <w:tblLook w:val="04A0" w:firstRow="1" w:lastRow="0" w:firstColumn="1" w:lastColumn="0" w:noHBand="0" w:noVBand="1"/>
      </w:tblPr>
      <w:tblGrid>
        <w:gridCol w:w="1883"/>
        <w:gridCol w:w="1212"/>
        <w:gridCol w:w="1296"/>
        <w:gridCol w:w="3260"/>
        <w:gridCol w:w="6341"/>
      </w:tblGrid>
      <w:tr w:rsidR="00FC0AE1" w:rsidRPr="00250BA5" w14:paraId="58E1980A" w14:textId="77777777" w:rsidTr="00934F01">
        <w:trPr>
          <w:cnfStyle w:val="100000000000" w:firstRow="1" w:lastRow="0" w:firstColumn="0" w:lastColumn="0" w:oddVBand="0" w:evenVBand="0" w:oddHBand="0" w:evenHBand="0" w:firstRowFirstColumn="0" w:firstRowLastColumn="0" w:lastRowFirstColumn="0" w:lastRowLastColumn="0"/>
          <w:trHeight w:val="20"/>
        </w:trPr>
        <w:tc>
          <w:tcPr>
            <w:tcW w:w="673" w:type="pct"/>
            <w:vAlign w:val="center"/>
            <w:hideMark/>
          </w:tcPr>
          <w:p w14:paraId="4EA0CA30" w14:textId="77777777" w:rsidR="00FC0AE1" w:rsidRPr="00250BA5" w:rsidRDefault="00FC0AE1" w:rsidP="00250BA5">
            <w:pPr>
              <w:jc w:val="center"/>
            </w:pPr>
            <w:r w:rsidRPr="00250BA5">
              <w:t>Assessment type and weighting</w:t>
            </w:r>
            <w:r w:rsidRPr="00250BA5">
              <w:br/>
              <w:t>(from syllabus)</w:t>
            </w:r>
          </w:p>
        </w:tc>
        <w:tc>
          <w:tcPr>
            <w:tcW w:w="433" w:type="pct"/>
            <w:vAlign w:val="center"/>
          </w:tcPr>
          <w:p w14:paraId="097960C4" w14:textId="77777777" w:rsidR="00FC0AE1" w:rsidRPr="00250BA5" w:rsidRDefault="00FC0AE1" w:rsidP="00250BA5">
            <w:pPr>
              <w:jc w:val="center"/>
            </w:pPr>
            <w:r w:rsidRPr="00250BA5">
              <w:t xml:space="preserve">Assessment task </w:t>
            </w:r>
            <w:r w:rsidR="00452420" w:rsidRPr="00250BA5">
              <w:br/>
            </w:r>
            <w:r w:rsidRPr="00250BA5">
              <w:t>weighting</w:t>
            </w:r>
          </w:p>
        </w:tc>
        <w:tc>
          <w:tcPr>
            <w:tcW w:w="463" w:type="pct"/>
            <w:vAlign w:val="center"/>
          </w:tcPr>
          <w:p w14:paraId="10820411" w14:textId="77777777" w:rsidR="00FC0AE1" w:rsidRPr="00250BA5" w:rsidRDefault="00FC0AE1" w:rsidP="00250BA5">
            <w:pPr>
              <w:jc w:val="center"/>
              <w:rPr>
                <w:lang w:eastAsia="en-US"/>
              </w:rPr>
            </w:pPr>
            <w:r w:rsidRPr="00250BA5">
              <w:rPr>
                <w:lang w:eastAsia="en-US"/>
              </w:rPr>
              <w:t>Week due</w:t>
            </w:r>
          </w:p>
        </w:tc>
        <w:tc>
          <w:tcPr>
            <w:tcW w:w="1165" w:type="pct"/>
            <w:vAlign w:val="center"/>
          </w:tcPr>
          <w:p w14:paraId="66E2B0E1" w14:textId="77777777" w:rsidR="00FC0AE1" w:rsidRPr="00250BA5" w:rsidRDefault="00FC0AE1" w:rsidP="00250BA5">
            <w:pPr>
              <w:jc w:val="center"/>
            </w:pPr>
            <w:r w:rsidRPr="00250BA5">
              <w:t>Content</w:t>
            </w:r>
          </w:p>
        </w:tc>
        <w:tc>
          <w:tcPr>
            <w:tcW w:w="2266" w:type="pct"/>
            <w:vAlign w:val="center"/>
            <w:hideMark/>
          </w:tcPr>
          <w:p w14:paraId="21A88421" w14:textId="77777777" w:rsidR="00FC0AE1" w:rsidRPr="00250BA5" w:rsidRDefault="00FC0AE1" w:rsidP="00250BA5">
            <w:pPr>
              <w:jc w:val="center"/>
            </w:pPr>
            <w:r w:rsidRPr="00250BA5">
              <w:t>Assessment task</w:t>
            </w:r>
          </w:p>
        </w:tc>
      </w:tr>
      <w:tr w:rsidR="00803045" w:rsidRPr="00250BA5" w14:paraId="21E861D9" w14:textId="77777777" w:rsidTr="00934F01">
        <w:trPr>
          <w:trHeight w:val="20"/>
        </w:trPr>
        <w:tc>
          <w:tcPr>
            <w:tcW w:w="673" w:type="pct"/>
            <w:vMerge w:val="restart"/>
            <w:vAlign w:val="center"/>
          </w:tcPr>
          <w:p w14:paraId="61929E5C" w14:textId="77777777" w:rsidR="00803045" w:rsidRPr="00250BA5" w:rsidRDefault="002526B8" w:rsidP="00934F01">
            <w:pPr>
              <w:jc w:val="center"/>
            </w:pPr>
            <w:r w:rsidRPr="00250BA5">
              <w:t>Extended written response 15</w:t>
            </w:r>
            <w:r w:rsidR="00803045" w:rsidRPr="00250BA5">
              <w:t>%</w:t>
            </w:r>
          </w:p>
          <w:p w14:paraId="50D20A62" w14:textId="77777777" w:rsidR="00803045" w:rsidRPr="00250BA5" w:rsidRDefault="00803045" w:rsidP="00934F01">
            <w:pPr>
              <w:jc w:val="center"/>
            </w:pPr>
            <w:r w:rsidRPr="00250BA5">
              <w:t>(10–20%)</w:t>
            </w:r>
          </w:p>
        </w:tc>
        <w:tc>
          <w:tcPr>
            <w:tcW w:w="433" w:type="pct"/>
            <w:vAlign w:val="center"/>
          </w:tcPr>
          <w:p w14:paraId="24E53F13" w14:textId="77777777" w:rsidR="00803045" w:rsidRPr="00250BA5" w:rsidRDefault="002526B8" w:rsidP="00934F01">
            <w:pPr>
              <w:jc w:val="center"/>
            </w:pPr>
            <w:r w:rsidRPr="00250BA5">
              <w:t>5</w:t>
            </w:r>
            <w:r w:rsidR="00803045" w:rsidRPr="00250BA5">
              <w:t>%</w:t>
            </w:r>
          </w:p>
        </w:tc>
        <w:tc>
          <w:tcPr>
            <w:tcW w:w="463" w:type="pct"/>
            <w:vAlign w:val="center"/>
          </w:tcPr>
          <w:p w14:paraId="09B17DD8" w14:textId="77777777" w:rsidR="00803045" w:rsidRPr="00250BA5" w:rsidRDefault="00C06437" w:rsidP="00934F01">
            <w:pPr>
              <w:jc w:val="center"/>
            </w:pPr>
            <w:r w:rsidRPr="00250BA5">
              <w:t>Semester</w:t>
            </w:r>
            <w:r w:rsidR="00803045" w:rsidRPr="00250BA5">
              <w:t xml:space="preserve"> 1</w:t>
            </w:r>
          </w:p>
          <w:p w14:paraId="793574F2" w14:textId="77777777" w:rsidR="00803045" w:rsidRPr="00250BA5" w:rsidRDefault="00803045" w:rsidP="00934F01">
            <w:pPr>
              <w:jc w:val="center"/>
            </w:pPr>
            <w:r w:rsidRPr="00250BA5">
              <w:t>Week 14</w:t>
            </w:r>
          </w:p>
        </w:tc>
        <w:tc>
          <w:tcPr>
            <w:tcW w:w="1165" w:type="pct"/>
            <w:vAlign w:val="center"/>
            <w:hideMark/>
          </w:tcPr>
          <w:p w14:paraId="12D471EF" w14:textId="77777777" w:rsidR="00803045" w:rsidRPr="00250BA5" w:rsidRDefault="00803045" w:rsidP="00934F01">
            <w:r w:rsidRPr="00250BA5">
              <w:t>Genre, generic conventions and readings</w:t>
            </w:r>
          </w:p>
        </w:tc>
        <w:tc>
          <w:tcPr>
            <w:tcW w:w="2266" w:type="pct"/>
          </w:tcPr>
          <w:p w14:paraId="7B23A7C6" w14:textId="51DD37BA" w:rsidR="00803045" w:rsidRPr="00250BA5" w:rsidRDefault="00803045" w:rsidP="00250BA5">
            <w:pPr>
              <w:rPr>
                <w:rFonts w:ascii="Calibri" w:hAnsi="Calibri" w:cs="Arial"/>
              </w:rPr>
            </w:pPr>
            <w:r w:rsidRPr="00250BA5">
              <w:rPr>
                <w:rFonts w:ascii="Calibri" w:hAnsi="Calibri" w:cs="Arial"/>
                <w:b/>
                <w:lang w:eastAsia="en-US"/>
              </w:rPr>
              <w:t>Task 5:</w:t>
            </w:r>
            <w:r w:rsidRPr="00250BA5">
              <w:rPr>
                <w:rFonts w:ascii="Calibri" w:hAnsi="Calibri" w:cs="Arial"/>
                <w:lang w:eastAsia="en-US"/>
              </w:rPr>
              <w:t xml:space="preserve">  Discuss how the novel </w:t>
            </w:r>
            <w:r w:rsidR="009D79B6" w:rsidRPr="00250BA5">
              <w:rPr>
                <w:rFonts w:ascii="Calibri" w:hAnsi="Calibri" w:cs="Arial"/>
                <w:i/>
                <w:lang w:eastAsia="en-US"/>
              </w:rPr>
              <w:t xml:space="preserve">Black Swan Green </w:t>
            </w:r>
            <w:r w:rsidRPr="00250BA5">
              <w:rPr>
                <w:rFonts w:ascii="Calibri" w:hAnsi="Calibri" w:cs="Arial"/>
                <w:lang w:eastAsia="en-US"/>
              </w:rPr>
              <w:t>exhibits the key feature</w:t>
            </w:r>
            <w:r w:rsidR="00C24326" w:rsidRPr="00250BA5">
              <w:rPr>
                <w:rFonts w:ascii="Calibri" w:hAnsi="Calibri" w:cs="Arial"/>
                <w:lang w:eastAsia="en-US"/>
              </w:rPr>
              <w:t>s</w:t>
            </w:r>
            <w:r w:rsidRPr="00250BA5">
              <w:rPr>
                <w:rFonts w:ascii="Calibri" w:hAnsi="Calibri" w:cs="Arial"/>
                <w:lang w:eastAsia="en-US"/>
              </w:rPr>
              <w:t xml:space="preserve"> of the genre of </w:t>
            </w:r>
            <w:r w:rsidRPr="00250BA5">
              <w:rPr>
                <w:lang w:eastAsia="en-US"/>
              </w:rPr>
              <w:t>novel</w:t>
            </w:r>
            <w:r w:rsidRPr="00250BA5">
              <w:rPr>
                <w:rFonts w:ascii="Calibri" w:hAnsi="Calibri" w:cs="Arial"/>
                <w:lang w:eastAsia="en-US"/>
              </w:rPr>
              <w:t xml:space="preserve"> called Bildungsroman and how</w:t>
            </w:r>
            <w:r w:rsidR="00C24326" w:rsidRPr="00250BA5">
              <w:rPr>
                <w:rFonts w:ascii="Calibri" w:hAnsi="Calibri" w:cs="Arial"/>
                <w:lang w:eastAsia="en-US"/>
              </w:rPr>
              <w:t xml:space="preserve"> knowledge of</w:t>
            </w:r>
            <w:r w:rsidRPr="00250BA5">
              <w:rPr>
                <w:rFonts w:ascii="Calibri" w:hAnsi="Calibri" w:cs="Arial"/>
                <w:lang w:eastAsia="en-US"/>
              </w:rPr>
              <w:t xml:space="preserve"> that </w:t>
            </w:r>
            <w:r w:rsidR="006710C3" w:rsidRPr="00250BA5">
              <w:rPr>
                <w:rFonts w:ascii="Calibri" w:hAnsi="Calibri" w:cs="Arial"/>
                <w:lang w:eastAsia="en-US"/>
              </w:rPr>
              <w:t xml:space="preserve">genre </w:t>
            </w:r>
            <w:r w:rsidRPr="00250BA5">
              <w:rPr>
                <w:rFonts w:ascii="Calibri" w:hAnsi="Calibri" w:cs="Arial"/>
                <w:lang w:eastAsia="en-US"/>
              </w:rPr>
              <w:t>has affected your reading of that text.</w:t>
            </w:r>
          </w:p>
        </w:tc>
      </w:tr>
      <w:tr w:rsidR="002526B8" w:rsidRPr="00250BA5" w14:paraId="490F983F" w14:textId="77777777" w:rsidTr="00934F01">
        <w:trPr>
          <w:trHeight w:val="20"/>
        </w:trPr>
        <w:tc>
          <w:tcPr>
            <w:tcW w:w="673" w:type="pct"/>
            <w:vMerge/>
            <w:vAlign w:val="center"/>
          </w:tcPr>
          <w:p w14:paraId="6AFE92AD" w14:textId="77777777" w:rsidR="002526B8" w:rsidRPr="00250BA5" w:rsidRDefault="002526B8" w:rsidP="00934F01">
            <w:pPr>
              <w:jc w:val="center"/>
            </w:pPr>
          </w:p>
        </w:tc>
        <w:tc>
          <w:tcPr>
            <w:tcW w:w="433" w:type="pct"/>
            <w:vAlign w:val="center"/>
          </w:tcPr>
          <w:p w14:paraId="434DF6AD" w14:textId="77777777" w:rsidR="002526B8" w:rsidRPr="00250BA5" w:rsidRDefault="002526B8" w:rsidP="00934F01">
            <w:pPr>
              <w:jc w:val="center"/>
            </w:pPr>
            <w:r w:rsidRPr="00250BA5">
              <w:t>10%</w:t>
            </w:r>
          </w:p>
        </w:tc>
        <w:tc>
          <w:tcPr>
            <w:tcW w:w="463" w:type="pct"/>
            <w:vAlign w:val="center"/>
          </w:tcPr>
          <w:p w14:paraId="20FD2031" w14:textId="77777777" w:rsidR="002526B8" w:rsidRPr="00250BA5" w:rsidRDefault="00C06437" w:rsidP="00934F01">
            <w:pPr>
              <w:jc w:val="center"/>
            </w:pPr>
            <w:r w:rsidRPr="00250BA5">
              <w:t>Semester</w:t>
            </w:r>
            <w:r w:rsidR="002526B8" w:rsidRPr="00250BA5">
              <w:t xml:space="preserve"> 2</w:t>
            </w:r>
          </w:p>
          <w:p w14:paraId="29C8CD5F" w14:textId="77777777" w:rsidR="002526B8" w:rsidRPr="00250BA5" w:rsidRDefault="002526B8" w:rsidP="00934F01">
            <w:pPr>
              <w:jc w:val="center"/>
            </w:pPr>
            <w:r w:rsidRPr="00250BA5">
              <w:t>Week 5</w:t>
            </w:r>
          </w:p>
        </w:tc>
        <w:tc>
          <w:tcPr>
            <w:tcW w:w="1165" w:type="pct"/>
            <w:vAlign w:val="center"/>
          </w:tcPr>
          <w:p w14:paraId="177B79A0" w14:textId="77777777" w:rsidR="002526B8" w:rsidRPr="00250BA5" w:rsidRDefault="002526B8" w:rsidP="00934F01">
            <w:r w:rsidRPr="00250BA5">
              <w:t>Contexts, readings/interpretations</w:t>
            </w:r>
          </w:p>
        </w:tc>
        <w:tc>
          <w:tcPr>
            <w:tcW w:w="2266" w:type="pct"/>
          </w:tcPr>
          <w:p w14:paraId="76F5A6DE" w14:textId="77777777" w:rsidR="002526B8" w:rsidRPr="00250BA5" w:rsidRDefault="002526B8" w:rsidP="00250BA5">
            <w:pPr>
              <w:rPr>
                <w:rFonts w:cs="Arial"/>
              </w:rPr>
            </w:pPr>
            <w:r w:rsidRPr="00250BA5">
              <w:rPr>
                <w:rFonts w:cs="Arial"/>
                <w:b/>
                <w:lang w:eastAsia="en-US"/>
              </w:rPr>
              <w:t xml:space="preserve">Task 7: </w:t>
            </w:r>
            <w:r w:rsidRPr="00250BA5">
              <w:rPr>
                <w:rFonts w:cs="Arial"/>
                <w:lang w:eastAsia="en-US"/>
              </w:rPr>
              <w:t xml:space="preserve">How does your </w:t>
            </w:r>
            <w:r w:rsidRPr="00250BA5">
              <w:rPr>
                <w:lang w:eastAsia="en-US"/>
              </w:rPr>
              <w:t>understanding</w:t>
            </w:r>
            <w:r w:rsidRPr="00250BA5">
              <w:rPr>
                <w:rFonts w:cs="Arial"/>
                <w:lang w:eastAsia="en-US"/>
              </w:rPr>
              <w:t xml:space="preserve"> of historical and cultural contexts enhance your reading/interpretation of Winton’s novel </w:t>
            </w:r>
            <w:proofErr w:type="spellStart"/>
            <w:r w:rsidRPr="00250BA5">
              <w:rPr>
                <w:rFonts w:cs="Arial"/>
                <w:i/>
                <w:lang w:eastAsia="en-US"/>
              </w:rPr>
              <w:t>Cloudstreet</w:t>
            </w:r>
            <w:proofErr w:type="spellEnd"/>
            <w:r w:rsidRPr="00250BA5">
              <w:rPr>
                <w:rFonts w:cs="Arial"/>
                <w:lang w:eastAsia="en-US"/>
              </w:rPr>
              <w:t>?</w:t>
            </w:r>
          </w:p>
        </w:tc>
      </w:tr>
      <w:tr w:rsidR="00A957B6" w:rsidRPr="00250BA5" w14:paraId="2E84E3B5" w14:textId="77777777" w:rsidTr="00934F01">
        <w:trPr>
          <w:trHeight w:val="20"/>
        </w:trPr>
        <w:tc>
          <w:tcPr>
            <w:tcW w:w="673" w:type="pct"/>
            <w:vMerge w:val="restart"/>
            <w:vAlign w:val="center"/>
          </w:tcPr>
          <w:p w14:paraId="76507DA1" w14:textId="14346590" w:rsidR="00A957B6" w:rsidRPr="00250BA5" w:rsidRDefault="00A957B6" w:rsidP="00934F01">
            <w:pPr>
              <w:jc w:val="center"/>
            </w:pPr>
            <w:r w:rsidRPr="00250BA5">
              <w:t>Short written response 30%</w:t>
            </w:r>
          </w:p>
          <w:p w14:paraId="08F0740A" w14:textId="77777777" w:rsidR="00A957B6" w:rsidRPr="00250BA5" w:rsidRDefault="00A957B6" w:rsidP="00934F01">
            <w:pPr>
              <w:jc w:val="center"/>
            </w:pPr>
            <w:r w:rsidRPr="00250BA5">
              <w:t>(30–40%)</w:t>
            </w:r>
          </w:p>
        </w:tc>
        <w:tc>
          <w:tcPr>
            <w:tcW w:w="433" w:type="pct"/>
            <w:vAlign w:val="center"/>
          </w:tcPr>
          <w:p w14:paraId="0BA06280" w14:textId="77777777" w:rsidR="00A957B6" w:rsidRPr="00250BA5" w:rsidRDefault="00A957B6" w:rsidP="00934F01">
            <w:pPr>
              <w:jc w:val="center"/>
            </w:pPr>
            <w:r w:rsidRPr="00250BA5">
              <w:t>5%</w:t>
            </w:r>
          </w:p>
        </w:tc>
        <w:tc>
          <w:tcPr>
            <w:tcW w:w="463" w:type="pct"/>
            <w:vAlign w:val="center"/>
          </w:tcPr>
          <w:p w14:paraId="22EF8B30" w14:textId="77777777" w:rsidR="00A957B6" w:rsidRPr="00250BA5" w:rsidRDefault="00C06437" w:rsidP="00934F01">
            <w:pPr>
              <w:jc w:val="center"/>
            </w:pPr>
            <w:r w:rsidRPr="00250BA5">
              <w:t>Semester</w:t>
            </w:r>
            <w:r w:rsidR="00A957B6" w:rsidRPr="00250BA5">
              <w:t xml:space="preserve"> 1</w:t>
            </w:r>
          </w:p>
          <w:p w14:paraId="5ABB7D3D" w14:textId="77777777" w:rsidR="00A957B6" w:rsidRPr="00250BA5" w:rsidRDefault="00A957B6" w:rsidP="00934F01">
            <w:pPr>
              <w:jc w:val="center"/>
            </w:pPr>
            <w:r w:rsidRPr="00250BA5">
              <w:t>Week 4</w:t>
            </w:r>
          </w:p>
        </w:tc>
        <w:tc>
          <w:tcPr>
            <w:tcW w:w="1165" w:type="pct"/>
            <w:vAlign w:val="center"/>
            <w:hideMark/>
          </w:tcPr>
          <w:p w14:paraId="65C06DF7" w14:textId="77777777" w:rsidR="00A957B6" w:rsidRPr="00250BA5" w:rsidRDefault="00A957B6" w:rsidP="00934F01">
            <w:r w:rsidRPr="00250BA5">
              <w:t>Genre, generic conventions and readings</w:t>
            </w:r>
          </w:p>
        </w:tc>
        <w:tc>
          <w:tcPr>
            <w:tcW w:w="2266" w:type="pct"/>
          </w:tcPr>
          <w:p w14:paraId="224790A6" w14:textId="77777777" w:rsidR="00A957B6" w:rsidRPr="00250BA5" w:rsidRDefault="00A957B6" w:rsidP="00250BA5">
            <w:pPr>
              <w:rPr>
                <w:rFonts w:ascii="Calibri" w:hAnsi="Calibri" w:cs="Arial"/>
                <w:lang w:eastAsia="en-US"/>
              </w:rPr>
            </w:pPr>
            <w:r w:rsidRPr="00250BA5">
              <w:rPr>
                <w:rFonts w:ascii="Calibri" w:hAnsi="Calibri" w:cs="Arial"/>
                <w:b/>
                <w:lang w:eastAsia="en-US"/>
              </w:rPr>
              <w:t>Task 1:</w:t>
            </w:r>
            <w:r w:rsidRPr="00250BA5">
              <w:rPr>
                <w:rFonts w:ascii="Calibri" w:hAnsi="Calibri" w:cs="Arial"/>
                <w:lang w:eastAsia="en-US"/>
              </w:rPr>
              <w:t xml:space="preserve"> Explain how two poems you have studied have conformed to the form or sub-genre in which they were written and how that has affected your reading of the poems.</w:t>
            </w:r>
          </w:p>
        </w:tc>
      </w:tr>
      <w:tr w:rsidR="00A957B6" w:rsidRPr="00250BA5" w14:paraId="4E11E7E3" w14:textId="77777777" w:rsidTr="00934F01">
        <w:trPr>
          <w:trHeight w:val="20"/>
        </w:trPr>
        <w:tc>
          <w:tcPr>
            <w:tcW w:w="673" w:type="pct"/>
            <w:vMerge/>
            <w:vAlign w:val="center"/>
          </w:tcPr>
          <w:p w14:paraId="3B206175" w14:textId="77777777" w:rsidR="00A957B6" w:rsidRPr="00250BA5" w:rsidRDefault="00A957B6" w:rsidP="00934F01">
            <w:pPr>
              <w:jc w:val="center"/>
            </w:pPr>
          </w:p>
        </w:tc>
        <w:tc>
          <w:tcPr>
            <w:tcW w:w="433" w:type="pct"/>
            <w:vAlign w:val="center"/>
          </w:tcPr>
          <w:p w14:paraId="6447A303" w14:textId="77777777" w:rsidR="00A957B6" w:rsidRPr="00250BA5" w:rsidRDefault="00A957B6" w:rsidP="00934F01">
            <w:pPr>
              <w:jc w:val="center"/>
            </w:pPr>
            <w:r w:rsidRPr="00250BA5">
              <w:t>5%</w:t>
            </w:r>
          </w:p>
        </w:tc>
        <w:tc>
          <w:tcPr>
            <w:tcW w:w="463" w:type="pct"/>
            <w:vAlign w:val="center"/>
          </w:tcPr>
          <w:p w14:paraId="2B459E4E" w14:textId="77777777" w:rsidR="009F5C86" w:rsidRPr="00250BA5" w:rsidRDefault="00C06437" w:rsidP="00934F01">
            <w:pPr>
              <w:jc w:val="center"/>
            </w:pPr>
            <w:r w:rsidRPr="00250BA5">
              <w:t>Semester</w:t>
            </w:r>
            <w:r w:rsidR="009F5C86" w:rsidRPr="00250BA5">
              <w:t xml:space="preserve"> 1</w:t>
            </w:r>
          </w:p>
          <w:p w14:paraId="28D6E59D" w14:textId="77777777" w:rsidR="00A957B6" w:rsidRPr="00250BA5" w:rsidRDefault="009F5C86" w:rsidP="00934F01">
            <w:pPr>
              <w:jc w:val="center"/>
            </w:pPr>
            <w:r w:rsidRPr="00250BA5">
              <w:t>Week 5</w:t>
            </w:r>
          </w:p>
        </w:tc>
        <w:tc>
          <w:tcPr>
            <w:tcW w:w="1165" w:type="pct"/>
            <w:vAlign w:val="center"/>
          </w:tcPr>
          <w:p w14:paraId="57337241" w14:textId="77777777" w:rsidR="00A957B6" w:rsidRPr="00250BA5" w:rsidRDefault="009F5C86" w:rsidP="00934F01">
            <w:r w:rsidRPr="00250BA5">
              <w:t>Reading practices; readings; representation</w:t>
            </w:r>
          </w:p>
        </w:tc>
        <w:tc>
          <w:tcPr>
            <w:tcW w:w="2266" w:type="pct"/>
          </w:tcPr>
          <w:p w14:paraId="6BB3069F" w14:textId="77777777" w:rsidR="00A957B6" w:rsidRPr="00250BA5" w:rsidRDefault="009F5C86" w:rsidP="00250BA5">
            <w:pPr>
              <w:rPr>
                <w:rFonts w:ascii="Calibri" w:hAnsi="Calibri" w:cs="Arial"/>
                <w:b/>
              </w:rPr>
            </w:pPr>
            <w:r w:rsidRPr="00250BA5">
              <w:rPr>
                <w:rFonts w:ascii="Calibri" w:hAnsi="Calibri" w:cs="Arial"/>
                <w:b/>
                <w:bCs/>
              </w:rPr>
              <w:t>Task 2:</w:t>
            </w:r>
            <w:r w:rsidRPr="00250BA5">
              <w:rPr>
                <w:rFonts w:ascii="Calibri" w:hAnsi="Calibri" w:cs="Arial"/>
              </w:rPr>
              <w:t xml:space="preserve"> Construct two </w:t>
            </w:r>
            <w:r w:rsidRPr="00250BA5">
              <w:t>different</w:t>
            </w:r>
            <w:r w:rsidRPr="00250BA5">
              <w:rPr>
                <w:rFonts w:ascii="Calibri" w:hAnsi="Calibri" w:cs="Arial"/>
              </w:rPr>
              <w:t xml:space="preserve"> readings of the same poem. Identify and describe the two </w:t>
            </w:r>
            <w:r w:rsidR="00C06437" w:rsidRPr="00250BA5">
              <w:rPr>
                <w:rFonts w:ascii="Calibri" w:hAnsi="Calibri" w:cs="Arial"/>
              </w:rPr>
              <w:t>reading practices that you used.</w:t>
            </w:r>
          </w:p>
        </w:tc>
      </w:tr>
      <w:tr w:rsidR="00A957B6" w:rsidRPr="00250BA5" w14:paraId="4C4E1E74" w14:textId="77777777" w:rsidTr="00934F01">
        <w:trPr>
          <w:trHeight w:val="20"/>
        </w:trPr>
        <w:tc>
          <w:tcPr>
            <w:tcW w:w="673" w:type="pct"/>
            <w:vMerge/>
            <w:vAlign w:val="center"/>
          </w:tcPr>
          <w:p w14:paraId="1FF9DF7C" w14:textId="77777777" w:rsidR="00A957B6" w:rsidRPr="00250BA5" w:rsidRDefault="00A957B6" w:rsidP="00934F01">
            <w:pPr>
              <w:jc w:val="center"/>
            </w:pPr>
          </w:p>
        </w:tc>
        <w:tc>
          <w:tcPr>
            <w:tcW w:w="433" w:type="pct"/>
            <w:vAlign w:val="center"/>
          </w:tcPr>
          <w:p w14:paraId="4FFF60BA" w14:textId="77777777" w:rsidR="00A957B6" w:rsidRPr="00250BA5" w:rsidRDefault="00A957B6" w:rsidP="00934F01">
            <w:pPr>
              <w:jc w:val="center"/>
            </w:pPr>
            <w:r w:rsidRPr="00250BA5">
              <w:t>5%</w:t>
            </w:r>
          </w:p>
        </w:tc>
        <w:tc>
          <w:tcPr>
            <w:tcW w:w="463" w:type="pct"/>
            <w:vAlign w:val="center"/>
          </w:tcPr>
          <w:p w14:paraId="132EA0C1" w14:textId="52947E09" w:rsidR="009F5C86" w:rsidRPr="00250BA5" w:rsidRDefault="009F5C86" w:rsidP="00934F01">
            <w:pPr>
              <w:jc w:val="center"/>
            </w:pPr>
            <w:r w:rsidRPr="00250BA5">
              <w:t>Sem</w:t>
            </w:r>
            <w:r w:rsidR="005F209E" w:rsidRPr="00250BA5">
              <w:t xml:space="preserve">ester </w:t>
            </w:r>
            <w:r w:rsidRPr="00250BA5">
              <w:t>1</w:t>
            </w:r>
          </w:p>
          <w:p w14:paraId="7ED9D624" w14:textId="77777777" w:rsidR="009F5C86" w:rsidRPr="00250BA5" w:rsidRDefault="009F5C86" w:rsidP="00934F01">
            <w:pPr>
              <w:jc w:val="center"/>
            </w:pPr>
            <w:r w:rsidRPr="00250BA5">
              <w:t>Week 11</w:t>
            </w:r>
          </w:p>
        </w:tc>
        <w:tc>
          <w:tcPr>
            <w:tcW w:w="1165" w:type="pct"/>
            <w:vAlign w:val="center"/>
          </w:tcPr>
          <w:p w14:paraId="05F90E9B" w14:textId="77777777" w:rsidR="009F5C86" w:rsidRPr="00250BA5" w:rsidRDefault="009F5C86" w:rsidP="00934F01">
            <w:r w:rsidRPr="00250BA5">
              <w:t>Genre, generic conventions and readings</w:t>
            </w:r>
          </w:p>
        </w:tc>
        <w:tc>
          <w:tcPr>
            <w:tcW w:w="2266" w:type="pct"/>
          </w:tcPr>
          <w:p w14:paraId="3EB1F699" w14:textId="77777777" w:rsidR="009F5C86" w:rsidRPr="00250BA5" w:rsidRDefault="009F5C86" w:rsidP="00250BA5">
            <w:pPr>
              <w:rPr>
                <w:rFonts w:ascii="Calibri" w:hAnsi="Calibri" w:cs="Arial"/>
                <w:lang w:eastAsia="en-US"/>
              </w:rPr>
            </w:pPr>
            <w:r w:rsidRPr="00250BA5">
              <w:rPr>
                <w:rFonts w:ascii="Calibri" w:hAnsi="Calibri" w:cs="Arial"/>
                <w:b/>
                <w:lang w:eastAsia="en-US"/>
              </w:rPr>
              <w:t>Task 4:</w:t>
            </w:r>
            <w:r w:rsidRPr="00250BA5">
              <w:rPr>
                <w:rFonts w:ascii="Calibri" w:hAnsi="Calibri" w:cs="Arial"/>
                <w:lang w:eastAsia="en-US"/>
              </w:rPr>
              <w:t xml:space="preserve"> Explain the extent to which the play </w:t>
            </w:r>
            <w:r w:rsidRPr="00250BA5">
              <w:rPr>
                <w:rFonts w:ascii="Calibri" w:hAnsi="Calibri" w:cs="Arial"/>
                <w:i/>
                <w:lang w:eastAsia="en-US"/>
              </w:rPr>
              <w:t xml:space="preserve">Death of a Salesman </w:t>
            </w:r>
            <w:r w:rsidRPr="00250BA5">
              <w:rPr>
                <w:rFonts w:ascii="Calibri" w:hAnsi="Calibri" w:cs="Arial"/>
                <w:lang w:eastAsia="en-US"/>
              </w:rPr>
              <w:t xml:space="preserve">exhibits the qualities usually </w:t>
            </w:r>
            <w:r w:rsidRPr="00250BA5">
              <w:rPr>
                <w:lang w:eastAsia="en-US"/>
              </w:rPr>
              <w:t>associated</w:t>
            </w:r>
            <w:r w:rsidRPr="00250BA5">
              <w:rPr>
                <w:rFonts w:ascii="Calibri" w:hAnsi="Calibri" w:cs="Arial"/>
                <w:lang w:eastAsia="en-US"/>
              </w:rPr>
              <w:t xml:space="preserve"> with tragedy.</w:t>
            </w:r>
          </w:p>
        </w:tc>
      </w:tr>
      <w:tr w:rsidR="00A957B6" w:rsidRPr="00250BA5" w14:paraId="7736A15C" w14:textId="77777777" w:rsidTr="00934F01">
        <w:trPr>
          <w:trHeight w:val="20"/>
        </w:trPr>
        <w:tc>
          <w:tcPr>
            <w:tcW w:w="673" w:type="pct"/>
            <w:vMerge/>
            <w:vAlign w:val="center"/>
          </w:tcPr>
          <w:p w14:paraId="6BF31DEE" w14:textId="77777777" w:rsidR="00A957B6" w:rsidRPr="00250BA5" w:rsidRDefault="00A957B6" w:rsidP="00934F01">
            <w:pPr>
              <w:jc w:val="center"/>
            </w:pPr>
          </w:p>
        </w:tc>
        <w:tc>
          <w:tcPr>
            <w:tcW w:w="433" w:type="pct"/>
            <w:vAlign w:val="center"/>
          </w:tcPr>
          <w:p w14:paraId="68D032D6" w14:textId="77777777" w:rsidR="00A957B6" w:rsidRPr="00250BA5" w:rsidRDefault="00A957B6" w:rsidP="00934F01">
            <w:pPr>
              <w:jc w:val="center"/>
            </w:pPr>
            <w:r w:rsidRPr="00250BA5">
              <w:t>5%</w:t>
            </w:r>
          </w:p>
        </w:tc>
        <w:tc>
          <w:tcPr>
            <w:tcW w:w="463" w:type="pct"/>
            <w:vAlign w:val="center"/>
          </w:tcPr>
          <w:p w14:paraId="163B33DB" w14:textId="77777777" w:rsidR="00A957B6" w:rsidRPr="00250BA5" w:rsidRDefault="00C06437" w:rsidP="00934F01">
            <w:pPr>
              <w:jc w:val="center"/>
            </w:pPr>
            <w:r w:rsidRPr="00250BA5">
              <w:t>Semester</w:t>
            </w:r>
            <w:r w:rsidR="00A957B6" w:rsidRPr="00250BA5">
              <w:t xml:space="preserve"> 2</w:t>
            </w:r>
          </w:p>
          <w:p w14:paraId="7841128D" w14:textId="77777777" w:rsidR="00A957B6" w:rsidRPr="00250BA5" w:rsidRDefault="00A957B6" w:rsidP="00934F01">
            <w:pPr>
              <w:jc w:val="center"/>
            </w:pPr>
            <w:r w:rsidRPr="00250BA5">
              <w:t>Week 7</w:t>
            </w:r>
          </w:p>
        </w:tc>
        <w:tc>
          <w:tcPr>
            <w:tcW w:w="1165" w:type="pct"/>
            <w:vAlign w:val="center"/>
          </w:tcPr>
          <w:p w14:paraId="73719BB0" w14:textId="77777777" w:rsidR="00A957B6" w:rsidRPr="00250BA5" w:rsidRDefault="00A957B6" w:rsidP="00934F01">
            <w:r w:rsidRPr="00250BA5">
              <w:t>Genre and generic conventions; transformation and adaptation; readings/interpretations</w:t>
            </w:r>
          </w:p>
        </w:tc>
        <w:tc>
          <w:tcPr>
            <w:tcW w:w="2266" w:type="pct"/>
          </w:tcPr>
          <w:p w14:paraId="686EA180" w14:textId="77777777" w:rsidR="00A957B6" w:rsidRPr="00250BA5" w:rsidRDefault="00A957B6" w:rsidP="00250BA5">
            <w:pPr>
              <w:rPr>
                <w:rFonts w:cs="Arial"/>
                <w:b/>
              </w:rPr>
            </w:pPr>
            <w:r w:rsidRPr="00250BA5">
              <w:rPr>
                <w:rFonts w:cs="Arial"/>
                <w:b/>
                <w:bCs/>
              </w:rPr>
              <w:t>Task 8:</w:t>
            </w:r>
            <w:r w:rsidRPr="00250BA5">
              <w:rPr>
                <w:rFonts w:cs="Arial"/>
              </w:rPr>
              <w:t xml:space="preserve"> To what extent has the transformation of the novel</w:t>
            </w:r>
            <w:r w:rsidR="004A713B" w:rsidRPr="00250BA5">
              <w:rPr>
                <w:rFonts w:cs="Arial"/>
              </w:rPr>
              <w:t xml:space="preserve"> </w:t>
            </w:r>
            <w:proofErr w:type="spellStart"/>
            <w:r w:rsidR="004A713B" w:rsidRPr="00250BA5">
              <w:rPr>
                <w:rFonts w:cs="Arial"/>
                <w:i/>
              </w:rPr>
              <w:t>Cloudstreet</w:t>
            </w:r>
            <w:proofErr w:type="spellEnd"/>
            <w:r w:rsidR="004A713B" w:rsidRPr="00250BA5">
              <w:rPr>
                <w:rFonts w:cs="Arial"/>
              </w:rPr>
              <w:t xml:space="preserve"> </w:t>
            </w:r>
            <w:r w:rsidRPr="00250BA5">
              <w:rPr>
                <w:rFonts w:cs="Arial"/>
              </w:rPr>
              <w:t xml:space="preserve">into a play reinforced/challenged some of the interpretations that reading the novel allowed? </w:t>
            </w:r>
          </w:p>
        </w:tc>
      </w:tr>
      <w:tr w:rsidR="00A957B6" w:rsidRPr="00250BA5" w14:paraId="3E8E3830" w14:textId="77777777" w:rsidTr="00934F01">
        <w:trPr>
          <w:trHeight w:val="20"/>
        </w:trPr>
        <w:tc>
          <w:tcPr>
            <w:tcW w:w="673" w:type="pct"/>
            <w:vMerge/>
            <w:vAlign w:val="center"/>
          </w:tcPr>
          <w:p w14:paraId="05D93BEA" w14:textId="77777777" w:rsidR="00A957B6" w:rsidRPr="00250BA5" w:rsidRDefault="00A957B6" w:rsidP="00934F01">
            <w:pPr>
              <w:jc w:val="center"/>
            </w:pPr>
          </w:p>
        </w:tc>
        <w:tc>
          <w:tcPr>
            <w:tcW w:w="433" w:type="pct"/>
            <w:vAlign w:val="center"/>
          </w:tcPr>
          <w:p w14:paraId="79DC2C4A" w14:textId="77777777" w:rsidR="00A957B6" w:rsidRPr="00250BA5" w:rsidRDefault="00A957B6" w:rsidP="00934F01">
            <w:pPr>
              <w:jc w:val="center"/>
            </w:pPr>
            <w:r w:rsidRPr="00250BA5">
              <w:t>5%</w:t>
            </w:r>
          </w:p>
        </w:tc>
        <w:tc>
          <w:tcPr>
            <w:tcW w:w="463" w:type="pct"/>
            <w:vAlign w:val="center"/>
          </w:tcPr>
          <w:p w14:paraId="0E9BFA23" w14:textId="77777777" w:rsidR="00A957B6" w:rsidRPr="00250BA5" w:rsidRDefault="00C06437" w:rsidP="00934F01">
            <w:pPr>
              <w:jc w:val="center"/>
            </w:pPr>
            <w:r w:rsidRPr="00250BA5">
              <w:t>Semester</w:t>
            </w:r>
            <w:r w:rsidR="00A957B6" w:rsidRPr="00250BA5">
              <w:t xml:space="preserve"> 2</w:t>
            </w:r>
          </w:p>
          <w:p w14:paraId="10D7CFE2" w14:textId="77777777" w:rsidR="00A957B6" w:rsidRPr="00250BA5" w:rsidRDefault="00A957B6" w:rsidP="00934F01">
            <w:pPr>
              <w:jc w:val="center"/>
            </w:pPr>
            <w:r w:rsidRPr="00250BA5">
              <w:t>Week 9</w:t>
            </w:r>
          </w:p>
        </w:tc>
        <w:tc>
          <w:tcPr>
            <w:tcW w:w="1165" w:type="pct"/>
            <w:vAlign w:val="center"/>
          </w:tcPr>
          <w:p w14:paraId="424EC94C" w14:textId="77777777" w:rsidR="00A957B6" w:rsidRPr="00250BA5" w:rsidRDefault="00A957B6" w:rsidP="00934F01">
            <w:r w:rsidRPr="00250BA5">
              <w:t>Genre, generic conventions, dramatic techniques; audience expectations; readings/interpretations</w:t>
            </w:r>
          </w:p>
        </w:tc>
        <w:tc>
          <w:tcPr>
            <w:tcW w:w="2266" w:type="pct"/>
          </w:tcPr>
          <w:p w14:paraId="638D4B4A" w14:textId="77777777" w:rsidR="00A957B6" w:rsidRPr="00250BA5" w:rsidRDefault="00A957B6" w:rsidP="00250BA5">
            <w:pPr>
              <w:rPr>
                <w:rFonts w:cs="Arial"/>
                <w:b/>
              </w:rPr>
            </w:pPr>
            <w:r w:rsidRPr="00250BA5">
              <w:rPr>
                <w:rFonts w:cs="Arial"/>
                <w:b/>
                <w:bCs/>
              </w:rPr>
              <w:t>Task 9:</w:t>
            </w:r>
            <w:r w:rsidRPr="00250BA5">
              <w:rPr>
                <w:rFonts w:cs="Arial"/>
              </w:rPr>
              <w:t xml:space="preserve"> Describe the generic (dramatic) conventions evident in the play </w:t>
            </w:r>
            <w:r w:rsidRPr="00250BA5">
              <w:rPr>
                <w:rFonts w:cs="Arial"/>
                <w:i/>
              </w:rPr>
              <w:t>The Female of the Species</w:t>
            </w:r>
            <w:r w:rsidRPr="00250BA5">
              <w:rPr>
                <w:rFonts w:cs="Arial"/>
              </w:rPr>
              <w:t xml:space="preserve">; </w:t>
            </w:r>
            <w:r w:rsidRPr="00250BA5">
              <w:t>discuss</w:t>
            </w:r>
            <w:r w:rsidRPr="00250BA5">
              <w:rPr>
                <w:rFonts w:cs="Arial"/>
              </w:rPr>
              <w:t xml:space="preserve"> the expectations that the reader might therefore have; and explain your reading of the important moments and key ideas in this play.</w:t>
            </w:r>
          </w:p>
        </w:tc>
      </w:tr>
      <w:tr w:rsidR="00A957B6" w:rsidRPr="00250BA5" w14:paraId="09014005" w14:textId="77777777" w:rsidTr="00934F01">
        <w:trPr>
          <w:trHeight w:val="20"/>
        </w:trPr>
        <w:tc>
          <w:tcPr>
            <w:tcW w:w="673" w:type="pct"/>
            <w:vMerge/>
            <w:vAlign w:val="center"/>
          </w:tcPr>
          <w:p w14:paraId="710E6F43" w14:textId="77777777" w:rsidR="00A957B6" w:rsidRPr="00250BA5" w:rsidRDefault="00A957B6" w:rsidP="00934F01">
            <w:pPr>
              <w:jc w:val="center"/>
            </w:pPr>
          </w:p>
        </w:tc>
        <w:tc>
          <w:tcPr>
            <w:tcW w:w="433" w:type="pct"/>
            <w:vAlign w:val="center"/>
          </w:tcPr>
          <w:p w14:paraId="51CF57C6" w14:textId="77777777" w:rsidR="00A957B6" w:rsidRPr="00250BA5" w:rsidRDefault="00A957B6" w:rsidP="00934F01">
            <w:pPr>
              <w:jc w:val="center"/>
            </w:pPr>
            <w:r w:rsidRPr="00250BA5">
              <w:t>5%</w:t>
            </w:r>
          </w:p>
        </w:tc>
        <w:tc>
          <w:tcPr>
            <w:tcW w:w="463" w:type="pct"/>
            <w:vAlign w:val="center"/>
          </w:tcPr>
          <w:p w14:paraId="1A671947" w14:textId="77777777" w:rsidR="00A957B6" w:rsidRPr="00250BA5" w:rsidRDefault="00C06437" w:rsidP="00934F01">
            <w:pPr>
              <w:jc w:val="center"/>
            </w:pPr>
            <w:r w:rsidRPr="00250BA5">
              <w:t>Semester</w:t>
            </w:r>
            <w:r w:rsidR="00A957B6" w:rsidRPr="00250BA5">
              <w:t xml:space="preserve"> 2</w:t>
            </w:r>
          </w:p>
          <w:p w14:paraId="0041842D" w14:textId="77777777" w:rsidR="00A957B6" w:rsidRPr="00250BA5" w:rsidRDefault="00A957B6" w:rsidP="00934F01">
            <w:pPr>
              <w:jc w:val="center"/>
            </w:pPr>
            <w:r w:rsidRPr="00250BA5">
              <w:t>Week 15</w:t>
            </w:r>
          </w:p>
        </w:tc>
        <w:tc>
          <w:tcPr>
            <w:tcW w:w="1165" w:type="pct"/>
            <w:vAlign w:val="center"/>
          </w:tcPr>
          <w:p w14:paraId="6C785B7B" w14:textId="77777777" w:rsidR="00A957B6" w:rsidRPr="00250BA5" w:rsidRDefault="00A957B6" w:rsidP="00934F01">
            <w:r w:rsidRPr="00250BA5">
              <w:t>Reading practices; readings; representation</w:t>
            </w:r>
          </w:p>
        </w:tc>
        <w:tc>
          <w:tcPr>
            <w:tcW w:w="2266" w:type="pct"/>
          </w:tcPr>
          <w:p w14:paraId="605A732C" w14:textId="77777777" w:rsidR="00A957B6" w:rsidRPr="00250BA5" w:rsidRDefault="00A957B6" w:rsidP="00250BA5">
            <w:pPr>
              <w:rPr>
                <w:rFonts w:cs="Arial"/>
                <w:lang w:eastAsia="en-US"/>
              </w:rPr>
            </w:pPr>
            <w:r w:rsidRPr="00250BA5">
              <w:rPr>
                <w:rFonts w:cs="Arial"/>
                <w:b/>
                <w:lang w:eastAsia="en-US"/>
              </w:rPr>
              <w:t xml:space="preserve">Task 12: </w:t>
            </w:r>
            <w:r w:rsidRPr="00250BA5">
              <w:rPr>
                <w:rFonts w:cs="Arial"/>
                <w:lang w:eastAsia="en-US"/>
              </w:rPr>
              <w:t xml:space="preserve">Create multiple readings of one poem and explain why you chose the reading practices you </w:t>
            </w:r>
            <w:r w:rsidRPr="00250BA5">
              <w:rPr>
                <w:lang w:eastAsia="en-US"/>
              </w:rPr>
              <w:t>have</w:t>
            </w:r>
            <w:r w:rsidRPr="00250BA5">
              <w:rPr>
                <w:rFonts w:cs="Arial"/>
                <w:lang w:eastAsia="en-US"/>
              </w:rPr>
              <w:t xml:space="preserve"> employed.</w:t>
            </w:r>
          </w:p>
        </w:tc>
      </w:tr>
      <w:tr w:rsidR="00250BA5" w:rsidRPr="00250BA5" w14:paraId="5853E404" w14:textId="77777777" w:rsidTr="00934F01">
        <w:trPr>
          <w:trHeight w:val="20"/>
        </w:trPr>
        <w:tc>
          <w:tcPr>
            <w:tcW w:w="673" w:type="pct"/>
            <w:vMerge w:val="restart"/>
            <w:vAlign w:val="center"/>
          </w:tcPr>
          <w:p w14:paraId="06DA15D3" w14:textId="7607F617" w:rsidR="00250BA5" w:rsidRPr="00250BA5" w:rsidRDefault="00250BA5" w:rsidP="00934F01">
            <w:pPr>
              <w:jc w:val="center"/>
            </w:pPr>
            <w:r w:rsidRPr="00250BA5">
              <w:lastRenderedPageBreak/>
              <w:t>Creative production of a literary text</w:t>
            </w:r>
            <w:r w:rsidR="00934F01">
              <w:t> </w:t>
            </w:r>
            <w:r w:rsidRPr="00250BA5">
              <w:t>15%</w:t>
            </w:r>
          </w:p>
          <w:p w14:paraId="7A151313" w14:textId="7783FBAB" w:rsidR="00250BA5" w:rsidRPr="00250BA5" w:rsidRDefault="00250BA5" w:rsidP="00934F01">
            <w:pPr>
              <w:jc w:val="center"/>
            </w:pPr>
            <w:r w:rsidRPr="00250BA5">
              <w:t>(10–20%)</w:t>
            </w:r>
          </w:p>
        </w:tc>
        <w:tc>
          <w:tcPr>
            <w:tcW w:w="433" w:type="pct"/>
            <w:vAlign w:val="center"/>
          </w:tcPr>
          <w:p w14:paraId="1589BC10" w14:textId="7AAC7728" w:rsidR="00250BA5" w:rsidRPr="00250BA5" w:rsidRDefault="00250BA5" w:rsidP="00934F01">
            <w:pPr>
              <w:jc w:val="center"/>
            </w:pPr>
            <w:r w:rsidRPr="00250BA5">
              <w:t>10%</w:t>
            </w:r>
          </w:p>
        </w:tc>
        <w:tc>
          <w:tcPr>
            <w:tcW w:w="463" w:type="pct"/>
            <w:vAlign w:val="center"/>
          </w:tcPr>
          <w:p w14:paraId="4564273A" w14:textId="77777777" w:rsidR="00250BA5" w:rsidRPr="00250BA5" w:rsidRDefault="00250BA5" w:rsidP="00934F01">
            <w:pPr>
              <w:jc w:val="center"/>
            </w:pPr>
            <w:r w:rsidRPr="00250BA5">
              <w:t>Semester 1</w:t>
            </w:r>
          </w:p>
          <w:p w14:paraId="6000648A" w14:textId="2E41B2EA" w:rsidR="00250BA5" w:rsidRPr="00250BA5" w:rsidRDefault="00250BA5" w:rsidP="00934F01">
            <w:pPr>
              <w:jc w:val="center"/>
            </w:pPr>
            <w:r w:rsidRPr="00250BA5">
              <w:t>Week 15</w:t>
            </w:r>
          </w:p>
        </w:tc>
        <w:tc>
          <w:tcPr>
            <w:tcW w:w="1165" w:type="pct"/>
            <w:vAlign w:val="center"/>
          </w:tcPr>
          <w:p w14:paraId="0A1DDADA" w14:textId="2979827E" w:rsidR="00250BA5" w:rsidRPr="00250BA5" w:rsidRDefault="00250BA5" w:rsidP="00934F01">
            <w:r w:rsidRPr="00250BA5">
              <w:t>Style; form; storytelling; approaches to characterisation; narrative approaches</w:t>
            </w:r>
          </w:p>
        </w:tc>
        <w:tc>
          <w:tcPr>
            <w:tcW w:w="2266" w:type="pct"/>
          </w:tcPr>
          <w:p w14:paraId="358FDA31" w14:textId="77777777" w:rsidR="00250BA5" w:rsidRPr="00250BA5" w:rsidRDefault="00250BA5" w:rsidP="00250BA5">
            <w:pPr>
              <w:rPr>
                <w:lang w:eastAsia="en-US"/>
              </w:rPr>
            </w:pPr>
            <w:r w:rsidRPr="00934F01">
              <w:rPr>
                <w:b/>
                <w:bCs/>
                <w:lang w:eastAsia="en-US"/>
              </w:rPr>
              <w:t>Task 6:</w:t>
            </w:r>
            <w:r w:rsidRPr="00250BA5">
              <w:rPr>
                <w:lang w:eastAsia="en-US"/>
              </w:rPr>
              <w:t xml:space="preserve"> Convert a real-life experience (one of your own or one about which you have read) into a fictional short story.</w:t>
            </w:r>
          </w:p>
          <w:p w14:paraId="36619312" w14:textId="6AB2490A" w:rsidR="00250BA5" w:rsidRPr="00250BA5" w:rsidRDefault="00250BA5" w:rsidP="00250BA5">
            <w:pPr>
              <w:rPr>
                <w:lang w:eastAsia="en-US"/>
              </w:rPr>
            </w:pPr>
            <w:r w:rsidRPr="00250BA5">
              <w:t>In an accompanying analysis, explain how you used at least two of the approaches to characterisation and at least one of the narrative approaches mentioned in the Unit 1 syllabus content.</w:t>
            </w:r>
          </w:p>
        </w:tc>
      </w:tr>
      <w:tr w:rsidR="00250BA5" w:rsidRPr="00250BA5" w14:paraId="417BC555" w14:textId="77777777" w:rsidTr="00934F01">
        <w:trPr>
          <w:trHeight w:val="20"/>
        </w:trPr>
        <w:tc>
          <w:tcPr>
            <w:tcW w:w="673" w:type="pct"/>
            <w:vMerge/>
            <w:vAlign w:val="center"/>
          </w:tcPr>
          <w:p w14:paraId="2F8BBD0E" w14:textId="77777777" w:rsidR="00250BA5" w:rsidRPr="00250BA5" w:rsidRDefault="00250BA5" w:rsidP="00934F01">
            <w:pPr>
              <w:jc w:val="center"/>
            </w:pPr>
          </w:p>
        </w:tc>
        <w:tc>
          <w:tcPr>
            <w:tcW w:w="433" w:type="pct"/>
            <w:vAlign w:val="center"/>
          </w:tcPr>
          <w:p w14:paraId="1EE09A21" w14:textId="578FB28F" w:rsidR="00250BA5" w:rsidRPr="00250BA5" w:rsidRDefault="00250BA5" w:rsidP="00934F01">
            <w:pPr>
              <w:jc w:val="center"/>
            </w:pPr>
            <w:r w:rsidRPr="00250BA5">
              <w:t>5%</w:t>
            </w:r>
          </w:p>
        </w:tc>
        <w:tc>
          <w:tcPr>
            <w:tcW w:w="463" w:type="pct"/>
            <w:vAlign w:val="center"/>
          </w:tcPr>
          <w:p w14:paraId="3EC203FF" w14:textId="77777777" w:rsidR="00250BA5" w:rsidRPr="00250BA5" w:rsidRDefault="00250BA5" w:rsidP="00934F01">
            <w:pPr>
              <w:jc w:val="center"/>
            </w:pPr>
            <w:r w:rsidRPr="00250BA5">
              <w:t>Semester 2</w:t>
            </w:r>
          </w:p>
          <w:p w14:paraId="2985A7E0" w14:textId="342024A1" w:rsidR="00250BA5" w:rsidRPr="00250BA5" w:rsidRDefault="00250BA5" w:rsidP="00934F01">
            <w:pPr>
              <w:jc w:val="center"/>
            </w:pPr>
            <w:r w:rsidRPr="00250BA5">
              <w:t>Week 13</w:t>
            </w:r>
          </w:p>
        </w:tc>
        <w:tc>
          <w:tcPr>
            <w:tcW w:w="1165" w:type="pct"/>
            <w:vAlign w:val="center"/>
          </w:tcPr>
          <w:p w14:paraId="07860595" w14:textId="502A09E8" w:rsidR="00250BA5" w:rsidRPr="00250BA5" w:rsidRDefault="00250BA5" w:rsidP="00934F01">
            <w:r w:rsidRPr="00250BA5">
              <w:t>Readings; reading practices; multiple readings; use of literary techniques</w:t>
            </w:r>
          </w:p>
        </w:tc>
        <w:tc>
          <w:tcPr>
            <w:tcW w:w="2266" w:type="pct"/>
          </w:tcPr>
          <w:p w14:paraId="3B90EA5D" w14:textId="77CAE5D1" w:rsidR="00250BA5" w:rsidRPr="00250BA5" w:rsidRDefault="00250BA5" w:rsidP="00250BA5">
            <w:pPr>
              <w:rPr>
                <w:lang w:eastAsia="en-US"/>
              </w:rPr>
            </w:pPr>
            <w:r w:rsidRPr="00934F01">
              <w:rPr>
                <w:b/>
                <w:bCs/>
                <w:lang w:eastAsia="en-US"/>
              </w:rPr>
              <w:t>Task 11:</w:t>
            </w:r>
            <w:r w:rsidRPr="00250BA5">
              <w:rPr>
                <w:lang w:eastAsia="en-US"/>
              </w:rPr>
              <w:t xml:space="preserve"> Use one poem studied as the starting point for a creative production of a literary text of your own. The text may take the form of poetry, prose fiction, drama or multimodal text. </w:t>
            </w:r>
            <w:r w:rsidRPr="00250BA5">
              <w:t>In an accompanying piece, explain the relationship between your text and the original and reflect on what you were trying to achieve.</w:t>
            </w:r>
          </w:p>
        </w:tc>
      </w:tr>
      <w:tr w:rsidR="00934F01" w:rsidRPr="00250BA5" w14:paraId="16DD8F31" w14:textId="77777777" w:rsidTr="00934F01">
        <w:trPr>
          <w:trHeight w:val="20"/>
        </w:trPr>
        <w:tc>
          <w:tcPr>
            <w:tcW w:w="673" w:type="pct"/>
            <w:vMerge w:val="restart"/>
            <w:vAlign w:val="center"/>
          </w:tcPr>
          <w:p w14:paraId="09290B72" w14:textId="77777777" w:rsidR="00934F01" w:rsidRPr="00250BA5" w:rsidRDefault="00934F01" w:rsidP="00934F01">
            <w:pPr>
              <w:pStyle w:val="Title"/>
              <w:ind w:left="3"/>
              <w:rPr>
                <w:rFonts w:ascii="Calibri" w:hAnsi="Calibri" w:cs="Arial"/>
                <w:b w:val="0"/>
                <w:sz w:val="20"/>
                <w:szCs w:val="20"/>
                <w:lang w:val="en-AU"/>
              </w:rPr>
            </w:pPr>
            <w:r w:rsidRPr="00250BA5">
              <w:rPr>
                <w:rFonts w:ascii="Calibri" w:hAnsi="Calibri" w:cs="Arial"/>
                <w:b w:val="0"/>
                <w:sz w:val="20"/>
                <w:szCs w:val="20"/>
                <w:lang w:val="en-AU"/>
              </w:rPr>
              <w:t>Oral 10%</w:t>
            </w:r>
          </w:p>
          <w:p w14:paraId="111F5645" w14:textId="06A8C904" w:rsidR="00934F01" w:rsidRPr="00250BA5" w:rsidRDefault="00934F01" w:rsidP="00934F01">
            <w:pPr>
              <w:jc w:val="center"/>
            </w:pPr>
            <w:r w:rsidRPr="00250BA5">
              <w:rPr>
                <w:rFonts w:ascii="Calibri" w:hAnsi="Calibri" w:cs="Arial"/>
              </w:rPr>
              <w:t>(10–20%)</w:t>
            </w:r>
          </w:p>
        </w:tc>
        <w:tc>
          <w:tcPr>
            <w:tcW w:w="433" w:type="pct"/>
            <w:vAlign w:val="center"/>
          </w:tcPr>
          <w:p w14:paraId="7A3D604B" w14:textId="05C9F531" w:rsidR="00934F01" w:rsidRPr="00934F01" w:rsidRDefault="00934F01" w:rsidP="00934F01">
            <w:pPr>
              <w:jc w:val="center"/>
            </w:pPr>
            <w:r w:rsidRPr="00934F01">
              <w:t>5%</w:t>
            </w:r>
          </w:p>
        </w:tc>
        <w:tc>
          <w:tcPr>
            <w:tcW w:w="463" w:type="pct"/>
            <w:vAlign w:val="center"/>
          </w:tcPr>
          <w:p w14:paraId="2FD00F5A" w14:textId="77777777" w:rsidR="00934F01" w:rsidRPr="00934F01" w:rsidRDefault="00934F01" w:rsidP="00934F01">
            <w:pPr>
              <w:jc w:val="center"/>
            </w:pPr>
            <w:r w:rsidRPr="00934F01">
              <w:t>Semester 1</w:t>
            </w:r>
          </w:p>
          <w:p w14:paraId="1FA4052D" w14:textId="5BE9AC29" w:rsidR="00934F01" w:rsidRPr="00934F01" w:rsidRDefault="00934F01" w:rsidP="00934F01">
            <w:pPr>
              <w:jc w:val="center"/>
            </w:pPr>
            <w:r w:rsidRPr="00934F01">
              <w:t>Week 9</w:t>
            </w:r>
          </w:p>
        </w:tc>
        <w:tc>
          <w:tcPr>
            <w:tcW w:w="1165" w:type="pct"/>
            <w:vAlign w:val="center"/>
          </w:tcPr>
          <w:p w14:paraId="7267406C" w14:textId="2E7E9123" w:rsidR="00934F01" w:rsidRPr="00934F01" w:rsidRDefault="00934F01" w:rsidP="00934F01">
            <w:r w:rsidRPr="00934F01">
              <w:t>Text structures; language features; stylistic elements; meanings</w:t>
            </w:r>
          </w:p>
        </w:tc>
        <w:tc>
          <w:tcPr>
            <w:tcW w:w="2266" w:type="pct"/>
          </w:tcPr>
          <w:p w14:paraId="7E1F6E76" w14:textId="4892C94D" w:rsidR="00934F01" w:rsidRPr="00934F01" w:rsidRDefault="00934F01" w:rsidP="00934F01">
            <w:pPr>
              <w:rPr>
                <w:lang w:eastAsia="en-US"/>
              </w:rPr>
            </w:pPr>
            <w:r w:rsidRPr="00934F01">
              <w:rPr>
                <w:b/>
                <w:bCs/>
              </w:rPr>
              <w:t>Task 3:</w:t>
            </w:r>
            <w:r w:rsidRPr="00934F01">
              <w:t xml:space="preserve"> Discuss the text structures, language features and stylistic elements of two short stories that you have studied and the subsequent meanings that you made of those texts.</w:t>
            </w:r>
          </w:p>
        </w:tc>
      </w:tr>
      <w:tr w:rsidR="00934F01" w:rsidRPr="00250BA5" w14:paraId="545923A2" w14:textId="77777777" w:rsidTr="00934F01">
        <w:trPr>
          <w:trHeight w:val="20"/>
        </w:trPr>
        <w:tc>
          <w:tcPr>
            <w:tcW w:w="673" w:type="pct"/>
            <w:vMerge/>
            <w:vAlign w:val="center"/>
          </w:tcPr>
          <w:p w14:paraId="7CABF3CF" w14:textId="77777777" w:rsidR="00934F01" w:rsidRPr="00250BA5" w:rsidRDefault="00934F01" w:rsidP="00934F01">
            <w:pPr>
              <w:jc w:val="center"/>
            </w:pPr>
          </w:p>
        </w:tc>
        <w:tc>
          <w:tcPr>
            <w:tcW w:w="433" w:type="pct"/>
            <w:vAlign w:val="center"/>
          </w:tcPr>
          <w:p w14:paraId="6BB540C9" w14:textId="6544E30F" w:rsidR="00934F01" w:rsidRPr="00934F01" w:rsidRDefault="00934F01" w:rsidP="00934F01">
            <w:pPr>
              <w:jc w:val="center"/>
            </w:pPr>
            <w:r w:rsidRPr="00934F01">
              <w:t>5%</w:t>
            </w:r>
          </w:p>
        </w:tc>
        <w:tc>
          <w:tcPr>
            <w:tcW w:w="463" w:type="pct"/>
            <w:vAlign w:val="center"/>
          </w:tcPr>
          <w:p w14:paraId="1EC7B36F" w14:textId="77777777" w:rsidR="00934F01" w:rsidRPr="00934F01" w:rsidRDefault="00934F01" w:rsidP="00934F01">
            <w:pPr>
              <w:jc w:val="center"/>
            </w:pPr>
            <w:r w:rsidRPr="00934F01">
              <w:t>Semester 2</w:t>
            </w:r>
          </w:p>
          <w:p w14:paraId="23835123" w14:textId="6E3B5BE6" w:rsidR="00934F01" w:rsidRPr="00934F01" w:rsidRDefault="00934F01" w:rsidP="00934F01">
            <w:pPr>
              <w:jc w:val="center"/>
            </w:pPr>
            <w:r w:rsidRPr="00934F01">
              <w:t>Week 11</w:t>
            </w:r>
          </w:p>
        </w:tc>
        <w:tc>
          <w:tcPr>
            <w:tcW w:w="1165" w:type="pct"/>
            <w:vAlign w:val="center"/>
          </w:tcPr>
          <w:p w14:paraId="7FCC77C3" w14:textId="764177B2" w:rsidR="00934F01" w:rsidRPr="00934F01" w:rsidRDefault="00934F01" w:rsidP="00934F01">
            <w:r w:rsidRPr="00934F01">
              <w:t>Text structures; language features; generic conventions; audience expectations stylistic choices; meanings</w:t>
            </w:r>
          </w:p>
        </w:tc>
        <w:tc>
          <w:tcPr>
            <w:tcW w:w="2266" w:type="pct"/>
          </w:tcPr>
          <w:p w14:paraId="621B820D" w14:textId="4899CC4B" w:rsidR="00934F01" w:rsidRPr="00250BA5" w:rsidRDefault="00934F01" w:rsidP="00934F01">
            <w:pPr>
              <w:rPr>
                <w:rFonts w:cs="Arial"/>
                <w:b/>
                <w:lang w:eastAsia="en-US"/>
              </w:rPr>
            </w:pPr>
            <w:r w:rsidRPr="00934F01">
              <w:rPr>
                <w:rFonts w:ascii="Calibri" w:hAnsi="Calibri" w:cs="Arial"/>
                <w:b/>
                <w:bCs/>
              </w:rPr>
              <w:t>Task 10:</w:t>
            </w:r>
            <w:r w:rsidRPr="00250BA5">
              <w:rPr>
                <w:rFonts w:ascii="Calibri" w:hAnsi="Calibri" w:cs="Arial"/>
              </w:rPr>
              <w:t xml:space="preserve"> How does </w:t>
            </w:r>
            <w:r w:rsidRPr="00250BA5">
              <w:rPr>
                <w:rFonts w:ascii="Calibri" w:hAnsi="Calibri" w:cs="Arial"/>
                <w:i/>
              </w:rPr>
              <w:t>Box the Pony</w:t>
            </w:r>
            <w:r w:rsidRPr="00250BA5">
              <w:rPr>
                <w:rFonts w:ascii="Calibri" w:hAnsi="Calibri" w:cs="Arial"/>
              </w:rPr>
              <w:t xml:space="preserve"> differ from </w:t>
            </w:r>
            <w:r w:rsidRPr="00250BA5">
              <w:rPr>
                <w:rFonts w:ascii="Calibri" w:hAnsi="Calibri" w:cs="Arial"/>
                <w:i/>
              </w:rPr>
              <w:t xml:space="preserve">The Female of the Species </w:t>
            </w:r>
            <w:r w:rsidRPr="00250BA5">
              <w:rPr>
                <w:rFonts w:ascii="Calibri" w:hAnsi="Calibri" w:cs="Arial"/>
              </w:rPr>
              <w:t xml:space="preserve">in its genre and use of dramatic conventions? What are the advantages and disadvantages of each style of play? How was your </w:t>
            </w:r>
            <w:r w:rsidRPr="00934F01">
              <w:t>interpretation</w:t>
            </w:r>
            <w:r w:rsidRPr="00250BA5">
              <w:rPr>
                <w:rFonts w:ascii="Calibri" w:hAnsi="Calibri" w:cs="Arial"/>
              </w:rPr>
              <w:t xml:space="preserve"> of </w:t>
            </w:r>
            <w:r w:rsidRPr="00250BA5">
              <w:rPr>
                <w:rFonts w:ascii="Calibri" w:hAnsi="Calibri" w:cs="Arial"/>
                <w:i/>
              </w:rPr>
              <w:t>Box the Pony</w:t>
            </w:r>
            <w:r w:rsidRPr="00250BA5">
              <w:rPr>
                <w:rFonts w:ascii="Calibri" w:hAnsi="Calibri" w:cs="Arial"/>
              </w:rPr>
              <w:t xml:space="preserve"> affected by its use of conventions?</w:t>
            </w:r>
          </w:p>
        </w:tc>
      </w:tr>
      <w:tr w:rsidR="00934F01" w:rsidRPr="00250BA5" w14:paraId="52BE3E1D" w14:textId="77777777" w:rsidTr="00934F01">
        <w:trPr>
          <w:trHeight w:val="20"/>
        </w:trPr>
        <w:tc>
          <w:tcPr>
            <w:tcW w:w="673" w:type="pct"/>
            <w:vMerge w:val="restart"/>
            <w:vAlign w:val="center"/>
          </w:tcPr>
          <w:p w14:paraId="0D7849B5" w14:textId="77777777" w:rsidR="00934F01" w:rsidRPr="00250BA5" w:rsidRDefault="00934F01" w:rsidP="00934F01">
            <w:pPr>
              <w:pStyle w:val="Title"/>
              <w:ind w:left="3"/>
              <w:rPr>
                <w:rFonts w:ascii="Calibri" w:hAnsi="Calibri" w:cs="Arial"/>
                <w:b w:val="0"/>
                <w:sz w:val="20"/>
                <w:szCs w:val="20"/>
                <w:lang w:val="en-AU"/>
              </w:rPr>
            </w:pPr>
            <w:r w:rsidRPr="00250BA5">
              <w:rPr>
                <w:rFonts w:ascii="Calibri" w:hAnsi="Calibri" w:cs="Arial"/>
                <w:b w:val="0"/>
                <w:sz w:val="20"/>
                <w:szCs w:val="20"/>
                <w:lang w:val="en-AU"/>
              </w:rPr>
              <w:t>Examination 30%</w:t>
            </w:r>
          </w:p>
          <w:p w14:paraId="75693883" w14:textId="5AB05754" w:rsidR="00934F01" w:rsidRPr="00250BA5" w:rsidRDefault="00934F01" w:rsidP="00934F01">
            <w:pPr>
              <w:jc w:val="center"/>
            </w:pPr>
            <w:r w:rsidRPr="00250BA5">
              <w:rPr>
                <w:rFonts w:ascii="Calibri" w:hAnsi="Calibri" w:cs="Arial"/>
              </w:rPr>
              <w:t>(20–30%)</w:t>
            </w:r>
          </w:p>
        </w:tc>
        <w:tc>
          <w:tcPr>
            <w:tcW w:w="433" w:type="pct"/>
            <w:vAlign w:val="center"/>
          </w:tcPr>
          <w:p w14:paraId="60A9F49F" w14:textId="49A2C4B1" w:rsidR="00934F01" w:rsidRPr="00250BA5" w:rsidRDefault="00934F01" w:rsidP="00934F01">
            <w:pPr>
              <w:jc w:val="center"/>
            </w:pPr>
            <w:r w:rsidRPr="00250BA5">
              <w:rPr>
                <w:rFonts w:ascii="Calibri" w:hAnsi="Calibri" w:cs="Arial"/>
              </w:rPr>
              <w:t>15%</w:t>
            </w:r>
          </w:p>
        </w:tc>
        <w:tc>
          <w:tcPr>
            <w:tcW w:w="463" w:type="pct"/>
            <w:vAlign w:val="center"/>
          </w:tcPr>
          <w:p w14:paraId="731A5B7D" w14:textId="0460A634" w:rsidR="00934F01" w:rsidRPr="00250BA5" w:rsidRDefault="00934F01" w:rsidP="00934F01">
            <w:pPr>
              <w:jc w:val="center"/>
            </w:pPr>
            <w:r w:rsidRPr="00250BA5">
              <w:rPr>
                <w:rFonts w:ascii="Calibri" w:hAnsi="Calibri" w:cs="Arial"/>
              </w:rPr>
              <w:t>Examination week</w:t>
            </w:r>
          </w:p>
        </w:tc>
        <w:tc>
          <w:tcPr>
            <w:tcW w:w="1165" w:type="pct"/>
            <w:vAlign w:val="center"/>
          </w:tcPr>
          <w:p w14:paraId="5534C18C" w14:textId="0AD4BB96" w:rsidR="00934F01" w:rsidRPr="00250BA5" w:rsidRDefault="00934F01" w:rsidP="00934F01">
            <w:r w:rsidRPr="00250BA5">
              <w:rPr>
                <w:rFonts w:ascii="Calibri" w:hAnsi="Calibri" w:cs="Arial"/>
              </w:rPr>
              <w:t>A representative sample of unit content</w:t>
            </w:r>
          </w:p>
        </w:tc>
        <w:tc>
          <w:tcPr>
            <w:tcW w:w="2266" w:type="pct"/>
          </w:tcPr>
          <w:p w14:paraId="63F1EA81" w14:textId="1E2D20CB" w:rsidR="00934F01" w:rsidRPr="00250BA5" w:rsidRDefault="00934F01" w:rsidP="00934F01">
            <w:pPr>
              <w:rPr>
                <w:rFonts w:cs="Arial"/>
                <w:b/>
                <w:lang w:eastAsia="en-US"/>
              </w:rPr>
            </w:pPr>
            <w:r w:rsidRPr="00934F01">
              <w:rPr>
                <w:rFonts w:ascii="Calibri" w:hAnsi="Calibri" w:cs="Arial"/>
                <w:b/>
                <w:bCs/>
              </w:rPr>
              <w:t>Semester 1 examination:</w:t>
            </w:r>
            <w:r w:rsidRPr="00250BA5">
              <w:rPr>
                <w:rFonts w:ascii="Calibri" w:hAnsi="Calibri" w:cs="Arial"/>
                <w:i/>
              </w:rPr>
              <w:t xml:space="preserve"> </w:t>
            </w:r>
            <w:r w:rsidRPr="00250BA5">
              <w:rPr>
                <w:rFonts w:ascii="Calibri" w:hAnsi="Calibri" w:cs="Arial"/>
              </w:rPr>
              <w:t>The examination will have the same structure as the ATAR Year 12 examination: Section One, Close reading (30%); and Section Two, Extended response (70%). Students will be required to refer to the three genre, prose fiction, poetry and drama in their three responses.</w:t>
            </w:r>
          </w:p>
        </w:tc>
      </w:tr>
      <w:tr w:rsidR="00934F01" w:rsidRPr="00250BA5" w14:paraId="29C81578" w14:textId="77777777" w:rsidTr="00934F01">
        <w:trPr>
          <w:trHeight w:val="20"/>
        </w:trPr>
        <w:tc>
          <w:tcPr>
            <w:tcW w:w="673" w:type="pct"/>
            <w:vMerge/>
            <w:vAlign w:val="center"/>
          </w:tcPr>
          <w:p w14:paraId="15042537" w14:textId="77777777" w:rsidR="00934F01" w:rsidRPr="00250BA5" w:rsidRDefault="00934F01" w:rsidP="00934F01">
            <w:pPr>
              <w:jc w:val="center"/>
            </w:pPr>
          </w:p>
        </w:tc>
        <w:tc>
          <w:tcPr>
            <w:tcW w:w="433" w:type="pct"/>
            <w:vAlign w:val="center"/>
          </w:tcPr>
          <w:p w14:paraId="5B147530" w14:textId="444FC12C" w:rsidR="00934F01" w:rsidRPr="00250BA5" w:rsidRDefault="00934F01" w:rsidP="00934F01">
            <w:pPr>
              <w:jc w:val="center"/>
            </w:pPr>
            <w:r w:rsidRPr="00250BA5">
              <w:rPr>
                <w:rFonts w:ascii="Calibri" w:hAnsi="Calibri" w:cs="Arial"/>
              </w:rPr>
              <w:t>15%</w:t>
            </w:r>
          </w:p>
        </w:tc>
        <w:tc>
          <w:tcPr>
            <w:tcW w:w="463" w:type="pct"/>
            <w:vAlign w:val="center"/>
          </w:tcPr>
          <w:p w14:paraId="3AE093D8" w14:textId="42B27C04" w:rsidR="00934F01" w:rsidRPr="00250BA5" w:rsidRDefault="00934F01" w:rsidP="00934F01">
            <w:pPr>
              <w:jc w:val="center"/>
            </w:pPr>
            <w:r w:rsidRPr="00250BA5">
              <w:rPr>
                <w:rFonts w:ascii="Calibri" w:hAnsi="Calibri" w:cs="Arial"/>
              </w:rPr>
              <w:t>Examination week</w:t>
            </w:r>
          </w:p>
        </w:tc>
        <w:tc>
          <w:tcPr>
            <w:tcW w:w="1165" w:type="pct"/>
            <w:vAlign w:val="center"/>
          </w:tcPr>
          <w:p w14:paraId="5494A467" w14:textId="544C86C9" w:rsidR="00934F01" w:rsidRPr="00250BA5" w:rsidRDefault="00934F01" w:rsidP="00934F01">
            <w:r w:rsidRPr="00250BA5">
              <w:rPr>
                <w:rFonts w:ascii="Calibri" w:hAnsi="Calibri" w:cs="Arial"/>
              </w:rPr>
              <w:t>A representative sample of unit content</w:t>
            </w:r>
          </w:p>
        </w:tc>
        <w:tc>
          <w:tcPr>
            <w:tcW w:w="2266" w:type="pct"/>
          </w:tcPr>
          <w:p w14:paraId="6573E293" w14:textId="16DBA4FD" w:rsidR="00934F01" w:rsidRPr="00250BA5" w:rsidRDefault="00934F01" w:rsidP="00934F01">
            <w:pPr>
              <w:rPr>
                <w:rFonts w:cs="Arial"/>
                <w:b/>
                <w:lang w:eastAsia="en-US"/>
              </w:rPr>
            </w:pPr>
            <w:r w:rsidRPr="00934F01">
              <w:rPr>
                <w:rFonts w:ascii="Calibri" w:hAnsi="Calibri" w:cs="Arial"/>
                <w:b/>
                <w:bCs/>
              </w:rPr>
              <w:t>Semester 2 examination:</w:t>
            </w:r>
            <w:r w:rsidRPr="00250BA5">
              <w:rPr>
                <w:rFonts w:ascii="Calibri" w:hAnsi="Calibri" w:cs="Arial"/>
                <w:i/>
              </w:rPr>
              <w:t xml:space="preserve"> </w:t>
            </w:r>
            <w:r w:rsidRPr="00250BA5">
              <w:rPr>
                <w:rFonts w:ascii="Calibri" w:hAnsi="Calibri" w:cs="Arial"/>
              </w:rPr>
              <w:t>The examination will have the same structure as the ATAR Year 12 examination: Section One, Close reading (30%); and Section Two, Extended response (70%). Students will be required to refer to the three genre, prose fiction, poetry and drama in their three responses.</w:t>
            </w:r>
          </w:p>
        </w:tc>
      </w:tr>
      <w:tr w:rsidR="00934F01" w:rsidRPr="00250BA5" w14:paraId="2661A5DD" w14:textId="77777777" w:rsidTr="00934F01">
        <w:trPr>
          <w:trHeight w:val="20"/>
        </w:trPr>
        <w:tc>
          <w:tcPr>
            <w:tcW w:w="673" w:type="pct"/>
            <w:shd w:val="clear" w:color="auto" w:fill="DECFE8" w:themeFill="accent5"/>
            <w:vAlign w:val="center"/>
          </w:tcPr>
          <w:p w14:paraId="09D4FA48" w14:textId="0F14C063" w:rsidR="00934F01" w:rsidRPr="00934F01" w:rsidRDefault="00934F01" w:rsidP="00934F01">
            <w:pPr>
              <w:jc w:val="center"/>
              <w:rPr>
                <w:b/>
                <w:bCs/>
              </w:rPr>
            </w:pPr>
            <w:r w:rsidRPr="00934F01">
              <w:rPr>
                <w:b/>
                <w:bCs/>
              </w:rPr>
              <w:t>Total</w:t>
            </w:r>
          </w:p>
        </w:tc>
        <w:tc>
          <w:tcPr>
            <w:tcW w:w="433" w:type="pct"/>
            <w:shd w:val="clear" w:color="auto" w:fill="DECFE8" w:themeFill="accent5"/>
            <w:vAlign w:val="center"/>
          </w:tcPr>
          <w:p w14:paraId="4A9261EA" w14:textId="7596C0A1" w:rsidR="00934F01" w:rsidRPr="00934F01" w:rsidRDefault="00934F01" w:rsidP="00934F01">
            <w:pPr>
              <w:jc w:val="center"/>
              <w:rPr>
                <w:rFonts w:ascii="Calibri" w:hAnsi="Calibri" w:cs="Arial"/>
                <w:b/>
                <w:bCs/>
              </w:rPr>
            </w:pPr>
            <w:r w:rsidRPr="00934F01">
              <w:rPr>
                <w:rFonts w:ascii="Calibri" w:hAnsi="Calibri" w:cs="Arial"/>
                <w:b/>
                <w:bCs/>
              </w:rPr>
              <w:t>100%</w:t>
            </w:r>
          </w:p>
        </w:tc>
        <w:tc>
          <w:tcPr>
            <w:tcW w:w="463" w:type="pct"/>
            <w:shd w:val="clear" w:color="auto" w:fill="DECFE8" w:themeFill="accent5"/>
            <w:vAlign w:val="center"/>
          </w:tcPr>
          <w:p w14:paraId="6CC32BF7" w14:textId="77777777" w:rsidR="00934F01" w:rsidRPr="00250BA5" w:rsidRDefault="00934F01" w:rsidP="00934F01">
            <w:pPr>
              <w:jc w:val="center"/>
              <w:rPr>
                <w:rFonts w:ascii="Calibri" w:hAnsi="Calibri" w:cs="Arial"/>
              </w:rPr>
            </w:pPr>
          </w:p>
        </w:tc>
        <w:tc>
          <w:tcPr>
            <w:tcW w:w="1165" w:type="pct"/>
            <w:shd w:val="clear" w:color="auto" w:fill="DECFE8" w:themeFill="accent5"/>
            <w:vAlign w:val="center"/>
          </w:tcPr>
          <w:p w14:paraId="167A9A65" w14:textId="77777777" w:rsidR="00934F01" w:rsidRPr="00250BA5" w:rsidRDefault="00934F01" w:rsidP="00934F01">
            <w:pPr>
              <w:rPr>
                <w:rFonts w:ascii="Calibri" w:hAnsi="Calibri" w:cs="Arial"/>
              </w:rPr>
            </w:pPr>
          </w:p>
        </w:tc>
        <w:tc>
          <w:tcPr>
            <w:tcW w:w="2266" w:type="pct"/>
            <w:shd w:val="clear" w:color="auto" w:fill="DECFE8" w:themeFill="accent5"/>
          </w:tcPr>
          <w:p w14:paraId="7881CB50" w14:textId="77777777" w:rsidR="00934F01" w:rsidRPr="00250BA5" w:rsidRDefault="00934F01" w:rsidP="00934F01">
            <w:pPr>
              <w:rPr>
                <w:rFonts w:ascii="Calibri" w:hAnsi="Calibri" w:cs="Arial"/>
              </w:rPr>
            </w:pPr>
          </w:p>
        </w:tc>
      </w:tr>
    </w:tbl>
    <w:p w14:paraId="34E45113" w14:textId="3368E39D" w:rsidR="00250BA5" w:rsidRPr="00934F01" w:rsidRDefault="00250BA5">
      <w:pPr>
        <w:rPr>
          <w:sz w:val="8"/>
          <w:szCs w:val="8"/>
        </w:rPr>
      </w:pPr>
    </w:p>
    <w:sectPr w:rsidR="00250BA5" w:rsidRPr="00934F01" w:rsidSect="00250BA5">
      <w:headerReference w:type="even" r:id="rId13"/>
      <w:headerReference w:type="default" r:id="rId14"/>
      <w:footerReference w:type="even" r:id="rId15"/>
      <w:footerReference w:type="default" r:id="rId16"/>
      <w:pgSz w:w="16838" w:h="11906" w:orient="landscape"/>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C08F" w14:textId="77777777" w:rsidR="007F455D" w:rsidRPr="00250BA5" w:rsidRDefault="007F455D" w:rsidP="00E35001">
      <w:r w:rsidRPr="00250BA5">
        <w:separator/>
      </w:r>
    </w:p>
  </w:endnote>
  <w:endnote w:type="continuationSeparator" w:id="0">
    <w:p w14:paraId="0FDF3C7F" w14:textId="77777777" w:rsidR="007F455D" w:rsidRPr="00250BA5" w:rsidRDefault="007F455D" w:rsidP="00E35001">
      <w:r w:rsidRPr="00250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F0F1" w14:textId="608B5F67" w:rsidR="002526B8" w:rsidRPr="00250BA5" w:rsidRDefault="00927451" w:rsidP="00250BA5">
    <w:pPr>
      <w:pStyle w:val="SCSAFootereven"/>
    </w:pPr>
    <w:r w:rsidRPr="00250BA5">
      <w:t>2026/2246</w:t>
    </w:r>
    <w:r w:rsidR="00773F4A" w:rsidRPr="00250BA5">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0B91" w14:textId="77777777" w:rsidR="002526B8" w:rsidRPr="00250BA5" w:rsidRDefault="002526B8" w:rsidP="00803045">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250BA5">
      <w:rPr>
        <w:rFonts w:ascii="Franklin Gothic Book" w:hAnsi="Franklin Gothic Book"/>
        <w:color w:val="342568"/>
        <w:sz w:val="16"/>
        <w:szCs w:val="16"/>
      </w:rPr>
      <w:t>2014/8812v2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0A8" w14:textId="77777777" w:rsidR="002526B8" w:rsidRPr="00250BA5" w:rsidRDefault="002526B8" w:rsidP="00250BA5">
    <w:pPr>
      <w:pStyle w:val="SCSAFootereven"/>
    </w:pPr>
    <w:r w:rsidRPr="00250BA5">
      <w:t>Sample assessment outline | Literature | ATAR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87D8" w14:textId="77777777" w:rsidR="002526B8" w:rsidRPr="00250BA5" w:rsidRDefault="002526B8" w:rsidP="00250BA5">
    <w:pPr>
      <w:pStyle w:val="SCSAFooterodd"/>
    </w:pPr>
    <w:r w:rsidRPr="00250BA5">
      <w:t>Sample assessment outline | Literature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E144" w14:textId="77777777" w:rsidR="007F455D" w:rsidRPr="00250BA5" w:rsidRDefault="007F455D" w:rsidP="00E35001">
      <w:r w:rsidRPr="00250BA5">
        <w:separator/>
      </w:r>
    </w:p>
  </w:footnote>
  <w:footnote w:type="continuationSeparator" w:id="0">
    <w:p w14:paraId="66F32B29" w14:textId="77777777" w:rsidR="007F455D" w:rsidRPr="00250BA5" w:rsidRDefault="007F455D" w:rsidP="00E35001">
      <w:r w:rsidRPr="00250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A146" w14:textId="77777777" w:rsidR="002526B8" w:rsidRPr="00250BA5" w:rsidRDefault="00BC22F1" w:rsidP="00BC22F1">
    <w:pPr>
      <w:pStyle w:val="Header"/>
      <w:ind w:left="-709"/>
    </w:pPr>
    <w:r w:rsidRPr="00250BA5">
      <w:drawing>
        <wp:inline distT="0" distB="0" distL="0" distR="0" wp14:anchorId="53D21996" wp14:editId="3E2C7D90">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A4B2" w14:textId="0CD39BA3" w:rsidR="002526B8" w:rsidRPr="00250BA5" w:rsidRDefault="002526B8" w:rsidP="00250BA5">
    <w:pPr>
      <w:pStyle w:val="SCSAHeaderevenlandscape"/>
    </w:pPr>
    <w:r w:rsidRPr="00250BA5">
      <w:fldChar w:fldCharType="begin"/>
    </w:r>
    <w:r w:rsidRPr="00250BA5">
      <w:instrText xml:space="preserve"> PAGE   \* MERGEFORMAT </w:instrText>
    </w:r>
    <w:r w:rsidRPr="00250BA5">
      <w:fldChar w:fldCharType="separate"/>
    </w:r>
    <w:r w:rsidR="000902CC" w:rsidRPr="00250BA5">
      <w:t>2</w:t>
    </w:r>
    <w:r w:rsidRPr="00250BA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5940" w14:textId="77777777" w:rsidR="002526B8" w:rsidRPr="00250BA5" w:rsidRDefault="002526B8" w:rsidP="00250BA5">
    <w:pPr>
      <w:pStyle w:val="SCSAHeaderoddlandscape"/>
    </w:pPr>
    <w:r w:rsidRPr="00250BA5">
      <w:fldChar w:fldCharType="begin"/>
    </w:r>
    <w:r w:rsidRPr="00250BA5">
      <w:instrText xml:space="preserve"> PAGE   \* MERGEFORMAT </w:instrText>
    </w:r>
    <w:r w:rsidRPr="00250BA5">
      <w:fldChar w:fldCharType="separate"/>
    </w:r>
    <w:r w:rsidR="000902CC" w:rsidRPr="00250BA5">
      <w:t>1</w:t>
    </w:r>
    <w:r w:rsidRPr="00250BA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pStyle w:val="csbullet"/>
      <w:lvlText w:val=""/>
      <w:lvlJc w:val="left"/>
      <w:pPr>
        <w:ind w:left="0" w:firstLine="0"/>
      </w:pPr>
    </w:lvl>
  </w:abstractNum>
  <w:abstractNum w:abstractNumId="4"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0485128">
    <w:abstractNumId w:val="3"/>
  </w:num>
  <w:num w:numId="2" w16cid:durableId="1767384844">
    <w:abstractNumId w:val="0"/>
  </w:num>
  <w:num w:numId="3" w16cid:durableId="550923193">
    <w:abstractNumId w:val="1"/>
  </w:num>
  <w:num w:numId="4" w16cid:durableId="1785271251">
    <w:abstractNumId w:val="5"/>
  </w:num>
  <w:num w:numId="5" w16cid:durableId="2083602168">
    <w:abstractNumId w:val="2"/>
  </w:num>
  <w:num w:numId="6" w16cid:durableId="405152255">
    <w:abstractNumId w:val="3"/>
  </w:num>
  <w:num w:numId="7" w16cid:durableId="1378243116">
    <w:abstractNumId w:val="3"/>
  </w:num>
  <w:num w:numId="8" w16cid:durableId="1750811507">
    <w:abstractNumId w:val="3"/>
  </w:num>
  <w:num w:numId="9" w16cid:durableId="1280985800">
    <w:abstractNumId w:val="3"/>
  </w:num>
  <w:num w:numId="10" w16cid:durableId="1013144860">
    <w:abstractNumId w:val="3"/>
  </w:num>
  <w:num w:numId="11" w16cid:durableId="366563448">
    <w:abstractNumId w:val="3"/>
  </w:num>
  <w:num w:numId="12" w16cid:durableId="1549754666">
    <w:abstractNumId w:val="3"/>
  </w:num>
  <w:num w:numId="13" w16cid:durableId="147780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75EED"/>
    <w:rsid w:val="000902CC"/>
    <w:rsid w:val="000E3EF0"/>
    <w:rsid w:val="00122A11"/>
    <w:rsid w:val="00146583"/>
    <w:rsid w:val="00185E14"/>
    <w:rsid w:val="001C0147"/>
    <w:rsid w:val="002009B9"/>
    <w:rsid w:val="002252E6"/>
    <w:rsid w:val="00250BA5"/>
    <w:rsid w:val="002526B8"/>
    <w:rsid w:val="00253B02"/>
    <w:rsid w:val="002964D6"/>
    <w:rsid w:val="00302DC2"/>
    <w:rsid w:val="00307024"/>
    <w:rsid w:val="00313837"/>
    <w:rsid w:val="003477D7"/>
    <w:rsid w:val="00361B00"/>
    <w:rsid w:val="00362DC1"/>
    <w:rsid w:val="00363250"/>
    <w:rsid w:val="003B6479"/>
    <w:rsid w:val="003C2E8B"/>
    <w:rsid w:val="003D60C7"/>
    <w:rsid w:val="003D70D8"/>
    <w:rsid w:val="0042723E"/>
    <w:rsid w:val="00431B1F"/>
    <w:rsid w:val="00434183"/>
    <w:rsid w:val="00452420"/>
    <w:rsid w:val="004736E2"/>
    <w:rsid w:val="004A713B"/>
    <w:rsid w:val="004D2632"/>
    <w:rsid w:val="004E086A"/>
    <w:rsid w:val="005071EE"/>
    <w:rsid w:val="00571385"/>
    <w:rsid w:val="005B4B65"/>
    <w:rsid w:val="005F209E"/>
    <w:rsid w:val="006710C3"/>
    <w:rsid w:val="006718DA"/>
    <w:rsid w:val="006843F8"/>
    <w:rsid w:val="00690035"/>
    <w:rsid w:val="00694DA7"/>
    <w:rsid w:val="00694FA1"/>
    <w:rsid w:val="006A1F70"/>
    <w:rsid w:val="006C0162"/>
    <w:rsid w:val="006C493E"/>
    <w:rsid w:val="006D760B"/>
    <w:rsid w:val="006F4839"/>
    <w:rsid w:val="007174CA"/>
    <w:rsid w:val="00745810"/>
    <w:rsid w:val="00773F4A"/>
    <w:rsid w:val="007F455D"/>
    <w:rsid w:val="00803045"/>
    <w:rsid w:val="008335F7"/>
    <w:rsid w:val="0084307E"/>
    <w:rsid w:val="00857C1B"/>
    <w:rsid w:val="0087459F"/>
    <w:rsid w:val="008B35EB"/>
    <w:rsid w:val="008E73A3"/>
    <w:rsid w:val="008F1C6E"/>
    <w:rsid w:val="00922916"/>
    <w:rsid w:val="00927451"/>
    <w:rsid w:val="00934F01"/>
    <w:rsid w:val="00981952"/>
    <w:rsid w:val="009A0EC5"/>
    <w:rsid w:val="009D3A9E"/>
    <w:rsid w:val="009D79B6"/>
    <w:rsid w:val="009F5C86"/>
    <w:rsid w:val="009F79A5"/>
    <w:rsid w:val="00A44EC6"/>
    <w:rsid w:val="00A55ECC"/>
    <w:rsid w:val="00A71EB7"/>
    <w:rsid w:val="00A75CE9"/>
    <w:rsid w:val="00A912DA"/>
    <w:rsid w:val="00A957B6"/>
    <w:rsid w:val="00B329C8"/>
    <w:rsid w:val="00B42D13"/>
    <w:rsid w:val="00B53E91"/>
    <w:rsid w:val="00B57C91"/>
    <w:rsid w:val="00BB0BC2"/>
    <w:rsid w:val="00BC22F1"/>
    <w:rsid w:val="00BC29F2"/>
    <w:rsid w:val="00C01DDC"/>
    <w:rsid w:val="00C06437"/>
    <w:rsid w:val="00C24326"/>
    <w:rsid w:val="00C33853"/>
    <w:rsid w:val="00C507ED"/>
    <w:rsid w:val="00CA404A"/>
    <w:rsid w:val="00CD5902"/>
    <w:rsid w:val="00CF2B72"/>
    <w:rsid w:val="00D15FDB"/>
    <w:rsid w:val="00D209AC"/>
    <w:rsid w:val="00D35AC7"/>
    <w:rsid w:val="00D85F20"/>
    <w:rsid w:val="00DC0357"/>
    <w:rsid w:val="00DC04C7"/>
    <w:rsid w:val="00DC69A5"/>
    <w:rsid w:val="00E05A6F"/>
    <w:rsid w:val="00E35001"/>
    <w:rsid w:val="00E41ACC"/>
    <w:rsid w:val="00E564F2"/>
    <w:rsid w:val="00E63C3E"/>
    <w:rsid w:val="00ED4901"/>
    <w:rsid w:val="00EE7083"/>
    <w:rsid w:val="00F261F4"/>
    <w:rsid w:val="00F633C2"/>
    <w:rsid w:val="00F74536"/>
    <w:rsid w:val="00FC0AE1"/>
    <w:rsid w:val="00FC12F3"/>
    <w:rsid w:val="00FE061E"/>
    <w:rsid w:val="00FF73F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016"/>
  <w15:docId w15:val="{F9EAEDFA-2D3A-4F23-9A44-CA90B29E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A5"/>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paragraph" w:styleId="Revision">
    <w:name w:val="Revision"/>
    <w:hidden/>
    <w:uiPriority w:val="99"/>
    <w:semiHidden/>
    <w:rsid w:val="009D79B6"/>
    <w:pPr>
      <w:spacing w:after="0" w:line="240" w:lineRule="auto"/>
    </w:pPr>
    <w:rPr>
      <w:rFonts w:ascii="Arial" w:eastAsia="Times New Roman" w:hAnsi="Arial" w:cs="Times New Roman"/>
      <w:lang w:val="it-IT" w:eastAsia="en-AU"/>
    </w:rPr>
  </w:style>
  <w:style w:type="paragraph" w:customStyle="1" w:styleId="SCSAHeaderoddlandscape">
    <w:name w:val="SCSA Header odd landscape"/>
    <w:basedOn w:val="Normal"/>
    <w:qFormat/>
    <w:rsid w:val="00250BA5"/>
    <w:pPr>
      <w:pBdr>
        <w:bottom w:val="single" w:sz="4" w:space="1" w:color="580F8B" w:themeColor="accent1"/>
      </w:pBdr>
      <w:spacing w:after="0" w:line="240" w:lineRule="auto"/>
      <w:ind w:left="14175" w:right="-1276"/>
    </w:pPr>
    <w:rPr>
      <w:b/>
      <w:bCs/>
      <w:color w:val="580F8B" w:themeColor="accent1"/>
      <w:sz w:val="36"/>
      <w:szCs w:val="36"/>
      <w14:ligatures w14:val="standardContextual"/>
    </w:rPr>
  </w:style>
  <w:style w:type="paragraph" w:customStyle="1" w:styleId="SCSAHeaderevenlandscape">
    <w:name w:val="SCSA Header even landscape"/>
    <w:basedOn w:val="SCSAHeaderoddlandscape"/>
    <w:qFormat/>
    <w:rsid w:val="00250BA5"/>
    <w:pPr>
      <w:ind w:left="-1276" w:right="14175"/>
      <w:jc w:val="right"/>
    </w:pPr>
  </w:style>
  <w:style w:type="paragraph" w:customStyle="1" w:styleId="SCSAFootereven">
    <w:name w:val="SCSA Footer even"/>
    <w:basedOn w:val="SCSAFooterodd"/>
    <w:qFormat/>
    <w:rsid w:val="00250BA5"/>
    <w:pPr>
      <w:jc w:val="left"/>
    </w:pPr>
  </w:style>
  <w:style w:type="paragraph" w:customStyle="1" w:styleId="SCSAY11-12Heading1">
    <w:name w:val="SCSA Y11-12 Heading 1"/>
    <w:basedOn w:val="Normal"/>
    <w:qFormat/>
    <w:rsid w:val="00250BA5"/>
    <w:pPr>
      <w:keepNext/>
      <w:spacing w:after="0"/>
      <w:outlineLvl w:val="0"/>
    </w:pPr>
    <w:rPr>
      <w:rFonts w:asciiTheme="majorHAnsi" w:eastAsiaTheme="majorEastAsia" w:hAnsiTheme="majorHAnsi" w:cstheme="majorBidi"/>
      <w:color w:val="580F8B" w:themeColor="accent1"/>
      <w:sz w:val="32"/>
      <w:szCs w:val="32"/>
      <w14:ligatures w14:val="standardContextual"/>
    </w:rPr>
  </w:style>
  <w:style w:type="paragraph" w:customStyle="1" w:styleId="SCSAY11-12Heading2">
    <w:name w:val="SCSA Y11-12 Heading 2"/>
    <w:basedOn w:val="Normal"/>
    <w:qFormat/>
    <w:rsid w:val="00250BA5"/>
    <w:pPr>
      <w:keepNext/>
      <w:outlineLvl w:val="1"/>
    </w:pPr>
    <w:rPr>
      <w:rFonts w:asciiTheme="majorHAnsi" w:eastAsiaTheme="majorEastAsia" w:hAnsiTheme="majorHAnsi" w:cstheme="majorBidi"/>
      <w:color w:val="580F8B" w:themeColor="accent1"/>
      <w:sz w:val="28"/>
      <w:szCs w:val="28"/>
      <w14:ligatures w14:val="standardContextual"/>
    </w:rPr>
  </w:style>
  <w:style w:type="paragraph" w:customStyle="1" w:styleId="SCSAY11-12Title1">
    <w:name w:val="SCSA Y11-12 Title 1"/>
    <w:basedOn w:val="Normal"/>
    <w:qFormat/>
    <w:rsid w:val="00250BA5"/>
    <w:pPr>
      <w:keepNext/>
      <w:spacing w:before="3500" w:after="0"/>
      <w:jc w:val="center"/>
    </w:pPr>
    <w:rPr>
      <w:b/>
      <w:bCs/>
      <w:smallCaps/>
      <w:color w:val="580F8B" w:themeColor="accent1"/>
      <w:sz w:val="40"/>
      <w:szCs w:val="40"/>
      <w14:ligatures w14:val="standardContextual"/>
    </w:rPr>
  </w:style>
  <w:style w:type="paragraph" w:customStyle="1" w:styleId="SCSAY11-12Title2">
    <w:name w:val="SCSA Y11-12 Title 2"/>
    <w:basedOn w:val="Normal"/>
    <w:qFormat/>
    <w:rsid w:val="00250BA5"/>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250BA5"/>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table" w:customStyle="1" w:styleId="SCSATable">
    <w:name w:val="SCSA Table"/>
    <w:basedOn w:val="TableNormal"/>
    <w:uiPriority w:val="99"/>
    <w:rsid w:val="00250BA5"/>
    <w:pPr>
      <w:spacing w:after="0"/>
    </w:pPr>
    <w:rPr>
      <w:sz w:val="20"/>
      <w:szCs w:val="20"/>
      <w:lang w:eastAsia="en-US"/>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Footerodd">
    <w:name w:val="SCSA Footer odd"/>
    <w:basedOn w:val="Normal"/>
    <w:qFormat/>
    <w:rsid w:val="00250BA5"/>
    <w:pPr>
      <w:pBdr>
        <w:top w:val="single" w:sz="4" w:space="1" w:color="580F8B" w:themeColor="accent1"/>
      </w:pBdr>
      <w:jc w:val="right"/>
    </w:pPr>
    <w:rPr>
      <w:color w:val="580F8B" w:themeColor="accent1"/>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0791-ACAB-4C20-8003-388440A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999</Words>
  <Characters>5378</Characters>
  <Application>Microsoft Office Word</Application>
  <DocSecurity>0</DocSecurity>
  <Lines>224</Lines>
  <Paragraphs>132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13</cp:revision>
  <cp:lastPrinted>2026-01-16T02:19:00Z</cp:lastPrinted>
  <dcterms:created xsi:type="dcterms:W3CDTF">2026-01-13T04:39:00Z</dcterms:created>
  <dcterms:modified xsi:type="dcterms:W3CDTF">2026-01-16T02:19:00Z</dcterms:modified>
</cp:coreProperties>
</file>