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77" w:rsidRPr="00B55273" w:rsidRDefault="001A3D77" w:rsidP="001A3D77">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2B3">
        <w:rPr>
          <w:rFonts w:ascii="Franklin Gothic Medium" w:eastAsia="Times New Roman" w:hAnsi="Franklin Gothic Medium" w:cs="Times New Roman"/>
          <w:smallCaps/>
          <w:noProof/>
          <w:color w:val="3C3B42"/>
          <w:spacing w:val="5"/>
          <w:kern w:val="28"/>
          <w:sz w:val="60"/>
          <w:szCs w:val="52"/>
          <w:lang w:val="en-AU" w:eastAsia="en-AU"/>
        </w:rPr>
        <w:t>Ancient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Pr="00A40556">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booklet</w:t>
      </w:r>
    </w:p>
    <w:p w:rsidR="005128F3" w:rsidRDefault="005128F3" w:rsidP="00E851D5">
      <w:pPr>
        <w:spacing w:before="0" w:after="0" w:line="240" w:lineRule="auto"/>
        <w:rPr>
          <w:rFonts w:ascii="Franklin Gothic Book" w:hAnsi="Franklin Gothic Book"/>
          <w:noProof/>
          <w:color w:val="5F497A" w:themeColor="accent4" w:themeShade="BF"/>
          <w:sz w:val="24"/>
          <w:szCs w:val="24"/>
        </w:rPr>
      </w:pPr>
      <w:r w:rsidRPr="005128F3">
        <w:rPr>
          <w:rFonts w:ascii="Franklin Gothic Book" w:hAnsi="Franklin Gothic Book"/>
          <w:noProof/>
          <w:color w:val="5F497A" w:themeColor="accent4" w:themeShade="BF"/>
          <w:sz w:val="24"/>
          <w:szCs w:val="24"/>
        </w:rPr>
        <w:t xml:space="preserve">Old Kingdom Egypt, Dynasty 3–6 c. 2686–c. 2181 BC </w:t>
      </w:r>
    </w:p>
    <w:p w:rsidR="009E4966" w:rsidRPr="00813711" w:rsidRDefault="00A40556"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43295D" w:rsidRPr="00EE3F32" w:rsidRDefault="005128F3"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Ancient History</w:t>
      </w:r>
    </w:p>
    <w:p w:rsidR="007C68C4" w:rsidRDefault="009E071D" w:rsidP="00870E9C">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5128F3" w:rsidRPr="00A40556" w:rsidRDefault="005128F3" w:rsidP="0022405F">
      <w:pPr>
        <w:pStyle w:val="Heading3"/>
        <w:rPr>
          <w:rFonts w:ascii="Franklin Gothic Book" w:hAnsi="Franklin Gothic Book"/>
          <w:b w:val="0"/>
          <w:smallCaps w:val="0"/>
          <w:color w:val="342568"/>
          <w:sz w:val="28"/>
          <w:szCs w:val="28"/>
          <w14:textFill>
            <w14:solidFill>
              <w14:srgbClr w14:val="342568">
                <w14:lumMod w14:val="75000"/>
              </w14:srgbClr>
            </w14:solidFill>
          </w14:textFill>
        </w:rPr>
      </w:pPr>
      <w:r w:rsidRPr="00A40556">
        <w:rPr>
          <w:rFonts w:ascii="Franklin Gothic Book" w:hAnsi="Franklin Gothic Book"/>
          <w:b w:val="0"/>
          <w:smallCaps w:val="0"/>
          <w:color w:val="342568"/>
          <w:sz w:val="28"/>
          <w:szCs w:val="28"/>
          <w14:textFill>
            <w14:solidFill>
              <w14:srgbClr w14:val="342568">
                <w14:lumMod w14:val="75000"/>
              </w14:srgbClr>
            </w14:solidFill>
          </w14:textFill>
        </w:rPr>
        <w:t>Old Kingdom Egypt, Dynasty 3–6, c. 2686–c. 2181 BC</w:t>
      </w:r>
    </w:p>
    <w:p w:rsidR="0022405F" w:rsidRPr="0022405F" w:rsidRDefault="00A56B00" w:rsidP="0022405F">
      <w:pPr>
        <w:pStyle w:val="Heading3"/>
      </w:pPr>
      <w:r>
        <w:t xml:space="preserve">Source </w:t>
      </w:r>
      <w:r w:rsidR="0022405F" w:rsidRPr="0022405F">
        <w:t xml:space="preserve">1 </w:t>
      </w:r>
    </w:p>
    <w:p w:rsidR="001734AE" w:rsidRDefault="005128F3" w:rsidP="005128F3">
      <w:r>
        <w:rPr>
          <w:rFonts w:ascii="Arial" w:eastAsia="Times New Roman" w:hAnsi="Arial" w:cs="Arial"/>
          <w:b/>
          <w:bCs/>
          <w:noProof/>
          <w:color w:val="231F20"/>
          <w:lang w:val="en-AU" w:eastAsia="en-AU"/>
        </w:rPr>
        <w:drawing>
          <wp:inline distT="0" distB="0" distL="0" distR="0" wp14:anchorId="4E0D2350" wp14:editId="69108EA6">
            <wp:extent cx="5731510" cy="380372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803721"/>
                    </a:xfrm>
                    <a:prstGeom prst="rect">
                      <a:avLst/>
                    </a:prstGeom>
                    <a:noFill/>
                    <a:ln>
                      <a:noFill/>
                    </a:ln>
                  </pic:spPr>
                </pic:pic>
              </a:graphicData>
            </a:graphic>
          </wp:inline>
        </w:drawing>
      </w:r>
    </w:p>
    <w:p w:rsidR="005128F3" w:rsidRPr="00B72FA6" w:rsidRDefault="005128F3" w:rsidP="005128F3">
      <w:pPr>
        <w:autoSpaceDE w:val="0"/>
        <w:autoSpaceDN w:val="0"/>
        <w:adjustRightInd w:val="0"/>
        <w:spacing w:before="0" w:after="0" w:line="240" w:lineRule="auto"/>
        <w:rPr>
          <w:rFonts w:asciiTheme="minorHAnsi" w:eastAsia="Times New Roman" w:hAnsiTheme="minorHAnsi" w:cstheme="minorHAnsi"/>
          <w:bCs/>
          <w:color w:val="231F20"/>
        </w:rPr>
      </w:pPr>
      <w:r w:rsidRPr="00B72FA6">
        <w:rPr>
          <w:rFonts w:asciiTheme="minorHAnsi" w:eastAsia="Times New Roman" w:hAnsiTheme="minorHAnsi" w:cstheme="minorHAnsi"/>
          <w:bCs/>
          <w:color w:val="231F20"/>
        </w:rPr>
        <w:t xml:space="preserve">The Dynasty 5 pyramids of Khufu (Cheops), </w:t>
      </w:r>
      <w:proofErr w:type="spellStart"/>
      <w:r w:rsidRPr="00B72FA6">
        <w:rPr>
          <w:rFonts w:asciiTheme="minorHAnsi" w:eastAsia="Times New Roman" w:hAnsiTheme="minorHAnsi" w:cstheme="minorHAnsi"/>
          <w:bCs/>
          <w:color w:val="231F20"/>
        </w:rPr>
        <w:t>Khafre</w:t>
      </w:r>
      <w:proofErr w:type="spellEnd"/>
      <w:r w:rsidRPr="00B72FA6">
        <w:rPr>
          <w:rFonts w:asciiTheme="minorHAnsi" w:eastAsia="Times New Roman" w:hAnsiTheme="minorHAnsi" w:cstheme="minorHAnsi"/>
          <w:bCs/>
          <w:color w:val="231F20"/>
        </w:rPr>
        <w:t>, (</w:t>
      </w:r>
      <w:proofErr w:type="spellStart"/>
      <w:r w:rsidRPr="00B72FA6">
        <w:rPr>
          <w:rFonts w:asciiTheme="minorHAnsi" w:eastAsia="Times New Roman" w:hAnsiTheme="minorHAnsi" w:cstheme="minorHAnsi"/>
          <w:bCs/>
          <w:color w:val="231F20"/>
        </w:rPr>
        <w:t>Chephren</w:t>
      </w:r>
      <w:proofErr w:type="spellEnd"/>
      <w:r w:rsidRPr="00B72FA6">
        <w:rPr>
          <w:rFonts w:asciiTheme="minorHAnsi" w:eastAsia="Times New Roman" w:hAnsiTheme="minorHAnsi" w:cstheme="minorHAnsi"/>
          <w:bCs/>
          <w:color w:val="231F20"/>
        </w:rPr>
        <w:t xml:space="preserve">) and </w:t>
      </w:r>
      <w:proofErr w:type="spellStart"/>
      <w:r w:rsidRPr="00B72FA6">
        <w:rPr>
          <w:rFonts w:asciiTheme="minorHAnsi" w:eastAsia="Times New Roman" w:hAnsiTheme="minorHAnsi" w:cstheme="minorHAnsi"/>
          <w:bCs/>
          <w:color w:val="231F20"/>
        </w:rPr>
        <w:t>Menkare</w:t>
      </w:r>
      <w:proofErr w:type="spellEnd"/>
      <w:r w:rsidRPr="00B72FA6">
        <w:rPr>
          <w:rFonts w:asciiTheme="minorHAnsi" w:eastAsia="Times New Roman" w:hAnsiTheme="minorHAnsi" w:cstheme="minorHAnsi"/>
          <w:bCs/>
          <w:color w:val="231F20"/>
        </w:rPr>
        <w:t xml:space="preserve"> (</w:t>
      </w:r>
      <w:proofErr w:type="spellStart"/>
      <w:r w:rsidRPr="00B72FA6">
        <w:rPr>
          <w:rFonts w:asciiTheme="minorHAnsi" w:eastAsia="Times New Roman" w:hAnsiTheme="minorHAnsi" w:cstheme="minorHAnsi"/>
          <w:bCs/>
          <w:color w:val="231F20"/>
        </w:rPr>
        <w:t>Mycerinas</w:t>
      </w:r>
      <w:proofErr w:type="spellEnd"/>
      <w:r w:rsidRPr="00B72FA6">
        <w:rPr>
          <w:rFonts w:asciiTheme="minorHAnsi" w:eastAsia="Times New Roman" w:hAnsiTheme="minorHAnsi" w:cstheme="minorHAnsi"/>
          <w:bCs/>
          <w:color w:val="231F20"/>
        </w:rPr>
        <w:t>),</w:t>
      </w:r>
      <w:r w:rsidR="00A56B00">
        <w:rPr>
          <w:rFonts w:asciiTheme="minorHAnsi" w:eastAsia="Times New Roman" w:hAnsiTheme="minorHAnsi" w:cstheme="minorHAnsi"/>
          <w:bCs/>
          <w:color w:val="231F20"/>
        </w:rPr>
        <w:t xml:space="preserve"> </w:t>
      </w:r>
      <w:r w:rsidRPr="00B72FA6">
        <w:rPr>
          <w:rFonts w:asciiTheme="minorHAnsi" w:eastAsia="Times New Roman" w:hAnsiTheme="minorHAnsi" w:cstheme="minorHAnsi"/>
          <w:bCs/>
          <w:color w:val="231F20"/>
        </w:rPr>
        <w:t xml:space="preserve">with the pyramids of </w:t>
      </w:r>
      <w:proofErr w:type="spellStart"/>
      <w:r w:rsidRPr="00B72FA6">
        <w:rPr>
          <w:rFonts w:asciiTheme="minorHAnsi" w:eastAsia="Times New Roman" w:hAnsiTheme="minorHAnsi" w:cstheme="minorHAnsi"/>
          <w:bCs/>
          <w:color w:val="231F20"/>
        </w:rPr>
        <w:t>Menkare’s</w:t>
      </w:r>
      <w:proofErr w:type="spellEnd"/>
      <w:r w:rsidRPr="00B72FA6">
        <w:rPr>
          <w:rFonts w:asciiTheme="minorHAnsi" w:eastAsia="Times New Roman" w:hAnsiTheme="minorHAnsi" w:cstheme="minorHAnsi"/>
          <w:bCs/>
          <w:color w:val="231F20"/>
        </w:rPr>
        <w:t xml:space="preserve"> queens in the foreground</w:t>
      </w:r>
    </w:p>
    <w:p w:rsidR="005128F3" w:rsidRDefault="005128F3">
      <w:pPr>
        <w:spacing w:before="0" w:after="200"/>
        <w:rPr>
          <w:b/>
          <w:smallCaps/>
          <w:sz w:val="24"/>
          <w:szCs w:val="24"/>
        </w:rPr>
      </w:pPr>
      <w:r>
        <w:br w:type="page"/>
      </w:r>
    </w:p>
    <w:p w:rsidR="0022405F" w:rsidRPr="0022405F" w:rsidRDefault="00A56B00" w:rsidP="0022405F">
      <w:pPr>
        <w:pStyle w:val="Heading3"/>
      </w:pPr>
      <w:r>
        <w:t xml:space="preserve">Source </w:t>
      </w:r>
      <w:r w:rsidR="0022405F">
        <w:t>2</w:t>
      </w:r>
    </w:p>
    <w:p w:rsidR="005128F3" w:rsidRPr="00B72FA6" w:rsidRDefault="005128F3" w:rsidP="005128F3">
      <w:pPr>
        <w:autoSpaceDE w:val="0"/>
        <w:autoSpaceDN w:val="0"/>
        <w:adjustRightInd w:val="0"/>
        <w:spacing w:after="0"/>
        <w:rPr>
          <w:rFonts w:asciiTheme="minorHAnsi" w:eastAsia="Times New Roman" w:hAnsiTheme="minorHAnsi" w:cstheme="minorHAnsi"/>
          <w:bCs/>
        </w:rPr>
      </w:pPr>
      <w:r w:rsidRPr="00B72FA6">
        <w:rPr>
          <w:rFonts w:asciiTheme="minorHAnsi" w:eastAsia="Times New Roman" w:hAnsiTheme="minorHAnsi" w:cstheme="minorHAnsi"/>
          <w:bCs/>
        </w:rPr>
        <w:t xml:space="preserve">To build and maintain the pyramids, an enormous support system must have existed. Production facilities for food, pottery, building materials and supplies, storage depots, and housing for the workmen and those responsible for servicing the pyramid temples were necessary. This is perhaps where we see the true power of the pyramid: as the centre of a vast engine of production and a key element of the redistributive economy that bound people to the king and kept Egyptian civilisation alive for a very long time. Since the reign of </w:t>
      </w:r>
      <w:proofErr w:type="spellStart"/>
      <w:r w:rsidRPr="00B72FA6">
        <w:rPr>
          <w:rFonts w:asciiTheme="minorHAnsi" w:eastAsia="Times New Roman" w:hAnsiTheme="minorHAnsi" w:cstheme="minorHAnsi"/>
          <w:bCs/>
        </w:rPr>
        <w:t>Snefru</w:t>
      </w:r>
      <w:proofErr w:type="spellEnd"/>
      <w:r w:rsidRPr="00B72FA6">
        <w:rPr>
          <w:rFonts w:asciiTheme="minorHAnsi" w:eastAsia="Times New Roman" w:hAnsiTheme="minorHAnsi" w:cstheme="minorHAnsi"/>
          <w:bCs/>
        </w:rPr>
        <w:t xml:space="preserve">, an entire town was associated with each pyramid, full of people employed to maintain the king’s afterlife.  New villages and agricultural estates were founded in the hinterlands specifically for supplying the pyramid cult and those who worked for it. This flow of resources from the peripheries to the pyramid, and thus to the very centre of the state, was in large part responsible for making Egypt into the most powerful centralized nation of its time. The organisational skills each pyramid represents are phenomenal.  While skilled craftsmen and management staff worked year round, farmers would come from the provinces during the inundation period to do the heavy work.  It is estimated that in all, some 200 000 people took part in the construction of a pyramid. </w:t>
      </w:r>
    </w:p>
    <w:p w:rsidR="002C0549" w:rsidRDefault="005128F3" w:rsidP="002C0549">
      <w:pPr>
        <w:spacing w:after="200"/>
        <w:jc w:val="right"/>
        <w:rPr>
          <w:rFonts w:ascii="Arial" w:eastAsia="Times New Roman" w:hAnsi="Arial" w:cs="Arial"/>
          <w:bCs/>
        </w:rPr>
      </w:pPr>
      <w:r>
        <w:rPr>
          <w:rFonts w:ascii="Arial" w:eastAsia="Times New Roman" w:hAnsi="Arial" w:cs="Arial"/>
          <w:b/>
          <w:bCs/>
          <w:color w:val="FF0000"/>
        </w:rPr>
        <w:tab/>
      </w:r>
      <w:r>
        <w:rPr>
          <w:rFonts w:ascii="Arial" w:eastAsia="Times New Roman" w:hAnsi="Arial" w:cs="Arial"/>
          <w:b/>
          <w:bCs/>
          <w:color w:val="FF0000"/>
        </w:rPr>
        <w:tab/>
      </w:r>
      <w:r>
        <w:rPr>
          <w:rFonts w:ascii="Arial" w:eastAsia="Times New Roman" w:hAnsi="Arial" w:cs="Arial"/>
          <w:b/>
          <w:bCs/>
          <w:color w:val="FF0000"/>
        </w:rPr>
        <w:tab/>
      </w:r>
      <w:r>
        <w:rPr>
          <w:rFonts w:ascii="Arial" w:eastAsia="Times New Roman" w:hAnsi="Arial" w:cs="Arial"/>
          <w:bCs/>
        </w:rPr>
        <w:t>Davies and Friedman (1998), 82–84.</w:t>
      </w:r>
    </w:p>
    <w:p w:rsidR="002C0549" w:rsidRPr="002C0549" w:rsidRDefault="002C0549" w:rsidP="002C0549">
      <w:pPr>
        <w:spacing w:after="200"/>
        <w:jc w:val="right"/>
        <w:rPr>
          <w:rFonts w:ascii="Arial" w:eastAsia="Times New Roman" w:hAnsi="Arial" w:cs="Arial"/>
          <w:b/>
          <w:bCs/>
          <w:color w:val="FF0000"/>
        </w:rPr>
      </w:pPr>
      <w:bookmarkStart w:id="0" w:name="_GoBack"/>
      <w:bookmarkEnd w:id="0"/>
    </w:p>
    <w:p w:rsidR="00732A2C" w:rsidRDefault="00732A2C" w:rsidP="00294035">
      <w:pPr>
        <w:rPr>
          <w:noProof/>
          <w:lang w:eastAsia="en-AU"/>
        </w:rPr>
        <w:sectPr w:rsidR="00732A2C" w:rsidSect="00801AAC">
          <w:headerReference w:type="even" r:id="rId15"/>
          <w:headerReference w:type="default" r:id="rId16"/>
          <w:footerReference w:type="even" r:id="rId17"/>
          <w:footerReference w:type="default" r:id="rId18"/>
          <w:headerReference w:type="first" r:id="rId19"/>
          <w:footerReference w:type="first" r:id="rId20"/>
          <w:pgSz w:w="11906" w:h="16838"/>
          <w:pgMar w:top="1534" w:right="1274"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t>ACKNOWLEDGEMENTS</w:t>
      </w:r>
    </w:p>
    <w:p w:rsidR="00D96E05" w:rsidRDefault="00D96E05" w:rsidP="00E851D5">
      <w:pPr>
        <w:rPr>
          <w:noProof/>
          <w:lang w:eastAsia="en-AU"/>
        </w:rPr>
      </w:pPr>
    </w:p>
    <w:p w:rsidR="005128F3" w:rsidRPr="005128F3" w:rsidRDefault="00D96E05" w:rsidP="005128F3">
      <w:pPr>
        <w:tabs>
          <w:tab w:val="left" w:pos="1418"/>
        </w:tabs>
        <w:spacing w:before="0" w:after="0"/>
        <w:rPr>
          <w:bCs/>
        </w:rPr>
      </w:pPr>
      <w:r w:rsidRPr="00FB4D18">
        <w:rPr>
          <w:b/>
        </w:rPr>
        <w:t>Source 1</w:t>
      </w:r>
      <w:r w:rsidRPr="00FB4D18">
        <w:rPr>
          <w:b/>
        </w:rPr>
        <w:tab/>
      </w:r>
      <w:proofErr w:type="spellStart"/>
      <w:r w:rsidR="005128F3" w:rsidRPr="005128F3">
        <w:rPr>
          <w:bCs/>
        </w:rPr>
        <w:t>Liberato</w:t>
      </w:r>
      <w:proofErr w:type="spellEnd"/>
      <w:r w:rsidR="005128F3" w:rsidRPr="005128F3">
        <w:rPr>
          <w:bCs/>
        </w:rPr>
        <w:t xml:space="preserve">, R. (2006). </w:t>
      </w:r>
      <w:r w:rsidR="005128F3" w:rsidRPr="005128F3">
        <w:rPr>
          <w:bCs/>
          <w:i/>
        </w:rPr>
        <w:t xml:space="preserve">All Giza pyramids in one shot </w:t>
      </w:r>
      <w:r w:rsidR="005128F3" w:rsidRPr="005128F3">
        <w:rPr>
          <w:bCs/>
        </w:rPr>
        <w:t xml:space="preserve">[Image]. Retrieved January, 2014, from </w:t>
      </w:r>
      <w:r w:rsidR="005128F3">
        <w:rPr>
          <w:bCs/>
        </w:rPr>
        <w:tab/>
      </w:r>
      <w:hyperlink r:id="rId21" w:history="1">
        <w:r w:rsidR="005128F3" w:rsidRPr="005128F3">
          <w:rPr>
            <w:rStyle w:val="Hyperlink"/>
            <w:bCs/>
          </w:rPr>
          <w:t>http://en.wikipedia.org/wiki/File:All_Gizah_Pyramids.jpg</w:t>
        </w:r>
      </w:hyperlink>
      <w:r w:rsidR="005128F3" w:rsidRPr="005128F3">
        <w:rPr>
          <w:bCs/>
        </w:rPr>
        <w:t xml:space="preserve"> </w:t>
      </w:r>
    </w:p>
    <w:p w:rsidR="005128F3" w:rsidRPr="005128F3" w:rsidRDefault="005128F3" w:rsidP="005128F3">
      <w:pPr>
        <w:tabs>
          <w:tab w:val="left" w:pos="1418"/>
        </w:tabs>
        <w:spacing w:before="0" w:after="0"/>
        <w:rPr>
          <w:bCs/>
        </w:rPr>
      </w:pPr>
      <w:r>
        <w:rPr>
          <w:bCs/>
        </w:rPr>
        <w:tab/>
      </w:r>
      <w:r w:rsidRPr="005128F3">
        <w:rPr>
          <w:bCs/>
        </w:rPr>
        <w:t xml:space="preserve">Used under the Creative Commons </w:t>
      </w:r>
      <w:hyperlink r:id="rId22" w:history="1">
        <w:r w:rsidRPr="005128F3">
          <w:rPr>
            <w:rStyle w:val="Hyperlink"/>
            <w:bCs/>
          </w:rPr>
          <w:t>Attribution-Share Alike 2.0 Generic</w:t>
        </w:r>
      </w:hyperlink>
      <w:r w:rsidRPr="005128F3">
        <w:rPr>
          <w:bCs/>
        </w:rPr>
        <w:t xml:space="preserve"> licence.</w:t>
      </w:r>
    </w:p>
    <w:p w:rsidR="001734AE" w:rsidRPr="00E851D5" w:rsidRDefault="001734AE" w:rsidP="007C68C4">
      <w:pPr>
        <w:tabs>
          <w:tab w:val="left" w:pos="1418"/>
        </w:tabs>
      </w:pPr>
    </w:p>
    <w:p w:rsidR="00D96E05" w:rsidRDefault="00D96E05" w:rsidP="007C68C4">
      <w:pPr>
        <w:tabs>
          <w:tab w:val="left" w:pos="1418"/>
        </w:tabs>
        <w:ind w:left="1418" w:hanging="1418"/>
      </w:pPr>
    </w:p>
    <w:p w:rsidR="001734AE" w:rsidRPr="00E851D5" w:rsidRDefault="00D96E05" w:rsidP="007C68C4">
      <w:pPr>
        <w:tabs>
          <w:tab w:val="left" w:pos="1418"/>
        </w:tabs>
      </w:pPr>
      <w:r>
        <w:rPr>
          <w:b/>
        </w:rPr>
        <w:t>Source 2</w:t>
      </w:r>
      <w:r>
        <w:rPr>
          <w:b/>
        </w:rPr>
        <w:tab/>
      </w:r>
      <w:r w:rsidR="005128F3" w:rsidRPr="00B72FA6">
        <w:rPr>
          <w:rFonts w:asciiTheme="minorHAnsi" w:eastAsia="Times New Roman" w:hAnsiTheme="minorHAnsi" w:cstheme="minorHAnsi"/>
          <w:bCs/>
        </w:rPr>
        <w:t xml:space="preserve">Davies, V. &amp; Friedman, R. (1998). </w:t>
      </w:r>
      <w:r w:rsidR="005128F3" w:rsidRPr="00B72FA6">
        <w:rPr>
          <w:rFonts w:asciiTheme="minorHAnsi" w:eastAsia="Times New Roman" w:hAnsiTheme="minorHAnsi" w:cstheme="minorHAnsi"/>
          <w:bCs/>
          <w:i/>
          <w:iCs/>
        </w:rPr>
        <w:t>Egypt</w:t>
      </w:r>
      <w:r w:rsidR="005128F3" w:rsidRPr="00B72FA6">
        <w:rPr>
          <w:rFonts w:asciiTheme="minorHAnsi" w:eastAsia="Times New Roman" w:hAnsiTheme="minorHAnsi" w:cstheme="minorHAnsi"/>
          <w:bCs/>
        </w:rPr>
        <w:t xml:space="preserve">. London: British Museum Press. </w:t>
      </w:r>
      <w:proofErr w:type="gramStart"/>
      <w:r w:rsidR="005128F3" w:rsidRPr="00B72FA6">
        <w:rPr>
          <w:rFonts w:asciiTheme="minorHAnsi" w:eastAsia="Times New Roman" w:hAnsiTheme="minorHAnsi" w:cstheme="minorHAnsi"/>
          <w:bCs/>
        </w:rPr>
        <w:t>p. 82.</w:t>
      </w:r>
      <w:proofErr w:type="gramEnd"/>
    </w:p>
    <w:p w:rsidR="00D96E05" w:rsidRPr="00AF30FD" w:rsidRDefault="00D96E05" w:rsidP="007C68C4">
      <w:pPr>
        <w:tabs>
          <w:tab w:val="left" w:pos="1418"/>
        </w:tabs>
        <w:ind w:left="1418" w:hanging="1418"/>
      </w:pPr>
    </w:p>
    <w:p w:rsidR="00D96E05" w:rsidRPr="002C5D23" w:rsidRDefault="00D96E05" w:rsidP="007C68C4">
      <w:pPr>
        <w:tabs>
          <w:tab w:val="left" w:pos="1418"/>
        </w:tabs>
      </w:pPr>
    </w:p>
    <w:sectPr w:rsidR="00D96E05" w:rsidRPr="002C5D23" w:rsidSect="00732A2C">
      <w:headerReference w:type="even" r:id="rId23"/>
      <w:headerReference w:type="default" r:id="rId24"/>
      <w:headerReference w:type="first" r:id="rId25"/>
      <w:footerReference w:type="first" r:id="rId26"/>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49" w:rsidRDefault="002C0549" w:rsidP="00E851D5">
      <w:r>
        <w:separator/>
      </w:r>
    </w:p>
  </w:endnote>
  <w:endnote w:type="continuationSeparator" w:id="0">
    <w:p w:rsidR="002C0549" w:rsidRDefault="002C0549"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4A6649" w:rsidRDefault="002C0549"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Pr>
        <w:rFonts w:ascii="Franklin Gothic Book" w:eastAsiaTheme="minorEastAsia" w:hAnsi="Franklin Gothic Book" w:cstheme="minorBidi"/>
        <w:noProof/>
        <w:color w:val="342568"/>
        <w:sz w:val="16"/>
        <w:szCs w:val="16"/>
        <w:lang w:val="en-AU" w:eastAsia="en-US"/>
      </w:rPr>
      <w:t>9959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8824FF" w:rsidRDefault="002C0549"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1734AE" w:rsidRDefault="002C0549"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Ancient History</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00A56B00">
      <w:rPr>
        <w:rFonts w:ascii="Franklin Gothic Book" w:hAnsi="Franklin Gothic Book"/>
        <w:b/>
        <w:noProof/>
        <w:color w:val="5F497A" w:themeColor="accent4" w:themeShade="BF"/>
        <w:sz w:val="18"/>
        <w:szCs w:val="18"/>
      </w:rPr>
      <w:t>| Externally set task</w:t>
    </w:r>
    <w:r w:rsidRPr="00E851D5">
      <w:rPr>
        <w:rFonts w:ascii="Franklin Gothic Book" w:hAnsi="Franklin Gothic Book"/>
        <w:b/>
        <w:noProof/>
        <w:color w:val="5F497A" w:themeColor="accent4" w:themeShade="BF"/>
        <w:sz w:val="18"/>
        <w:szCs w:val="18"/>
      </w:rPr>
      <w:t xml:space="preserve"> Source Booklet</w:t>
    </w:r>
    <w:r w:rsidR="00A56B00">
      <w:rPr>
        <w:rFonts w:ascii="Franklin Gothic Book" w:hAnsi="Franklin Gothic Book"/>
        <w:b/>
        <w:noProof/>
        <w:color w:val="5F497A" w:themeColor="accent4" w:themeShade="BF"/>
        <w:sz w:val="18"/>
        <w:szCs w:val="18"/>
      </w:rPr>
      <w:t xml:space="preserve"> | </w:t>
    </w:r>
    <w:r>
      <w:rPr>
        <w:rFonts w:ascii="Franklin Gothic Book" w:hAnsi="Franklin Gothic Book"/>
        <w:b/>
        <w:noProof/>
        <w:color w:val="5F497A" w:themeColor="accent4" w:themeShade="BF"/>
        <w:sz w:val="18"/>
        <w:szCs w:val="18"/>
      </w:rPr>
      <w:t>Old Kingdom Egypt</w:t>
    </w:r>
    <w:r w:rsidR="00A56B00">
      <w:rPr>
        <w:rFonts w:ascii="Franklin Gothic Book" w:hAnsi="Franklin Gothic Book"/>
        <w:b/>
        <w:noProof/>
        <w:color w:val="5F497A" w:themeColor="accent4" w:themeShade="BF"/>
        <w:sz w:val="18"/>
        <w:szCs w:val="18"/>
      </w:rPr>
      <w:t xml:space="preserve">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1734AE" w:rsidRDefault="002C0549"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&lt;course name&gt;</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course | Externally set task (Year 12) Source Booklet </w:t>
    </w:r>
    <w:r w:rsidRPr="00E851D5">
      <w:rPr>
        <w:rFonts w:ascii="Franklin Gothic Book" w:hAnsi="Franklin Gothic Book"/>
        <w:b/>
        <w:noProof/>
        <w:color w:val="5F497A" w:themeColor="accent4" w:themeShade="BF"/>
        <w:sz w:val="18"/>
        <w:szCs w:val="18"/>
      </w:rPr>
      <w:br/>
    </w:r>
    <w:r>
      <w:rPr>
        <w:rFonts w:ascii="Franklin Gothic Book" w:hAnsi="Franklin Gothic Book"/>
        <w:b/>
        <w:noProof/>
        <w:color w:val="5F497A" w:themeColor="accent4" w:themeShade="BF"/>
        <w:sz w:val="18"/>
        <w:szCs w:val="18"/>
      </w:rPr>
      <w:t>&lt;title&gt;</w:t>
    </w:r>
    <w:r w:rsidRPr="00E851D5">
      <w:rPr>
        <w:rFonts w:ascii="Franklin Gothic Book" w:hAnsi="Franklin Gothic Book"/>
        <w:b/>
        <w:noProof/>
        <w:color w:val="5F497A" w:themeColor="accent4" w:themeShade="BF"/>
        <w:sz w:val="18"/>
        <w:szCs w:val="18"/>
      </w:rPr>
      <w:t xml:space="preserve"> | Sample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2F171D" w:rsidRDefault="002C0549" w:rsidP="00E24C0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Ancient History</w:t>
    </w:r>
    <w:r w:rsidRPr="002F171D">
      <w:rPr>
        <w:rFonts w:ascii="Franklin Gothic Book" w:hAnsi="Franklin Gothic Book"/>
        <w:b/>
        <w:noProof/>
        <w:color w:val="342568"/>
        <w:sz w:val="18"/>
        <w:szCs w:val="18"/>
      </w:rPr>
      <w:t xml:space="preserve"> | General</w:t>
    </w:r>
    <w:r w:rsidRPr="002F171D">
      <w:rPr>
        <w:rFonts w:ascii="Franklin Gothic Book" w:hAnsi="Franklin Gothic Book"/>
        <w:b/>
        <w:color w:val="342568"/>
        <w:sz w:val="18"/>
        <w:szCs w:val="18"/>
      </w:rPr>
      <w:t xml:space="preserve"> </w:t>
    </w:r>
    <w:r w:rsidRPr="002F171D">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Source Booklet</w:t>
    </w:r>
    <w:r w:rsidRPr="002F171D">
      <w:rPr>
        <w:rFonts w:ascii="Franklin Gothic Book" w:hAnsi="Franklin Gothic Book"/>
        <w:b/>
        <w:noProof/>
        <w:color w:val="342568"/>
        <w:sz w:val="18"/>
        <w:szCs w:val="18"/>
      </w:rPr>
      <w:t xml:space="preserve"> </w:t>
    </w:r>
    <w:r w:rsidR="00A56B00">
      <w:rPr>
        <w:rFonts w:ascii="Franklin Gothic Book" w:hAnsi="Franklin Gothic Book"/>
        <w:b/>
        <w:noProof/>
        <w:color w:val="5F497A" w:themeColor="accent4" w:themeShade="BF"/>
        <w:sz w:val="18"/>
        <w:szCs w:val="18"/>
      </w:rPr>
      <w:t xml:space="preserve">| </w:t>
    </w:r>
    <w:r>
      <w:rPr>
        <w:rFonts w:ascii="Franklin Gothic Book" w:hAnsi="Franklin Gothic Book"/>
        <w:b/>
        <w:noProof/>
        <w:color w:val="5F497A" w:themeColor="accent4" w:themeShade="BF"/>
        <w:sz w:val="18"/>
        <w:szCs w:val="18"/>
      </w:rPr>
      <w:t>Old Kingdom Egypt</w:t>
    </w:r>
    <w:r w:rsidR="00A56B00">
      <w:rPr>
        <w:rFonts w:ascii="Franklin Gothic Book" w:hAnsi="Franklin Gothic Book"/>
        <w:b/>
        <w:noProof/>
        <w:color w:val="342568"/>
        <w:sz w:val="18"/>
        <w:szCs w:val="18"/>
      </w:rPr>
      <w:t xml:space="preserve"> |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732A2C" w:rsidRDefault="002C0549"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49" w:rsidRDefault="002C0549" w:rsidP="00E851D5">
      <w:r>
        <w:separator/>
      </w:r>
    </w:p>
  </w:footnote>
  <w:footnote w:type="continuationSeparator" w:id="0">
    <w:p w:rsidR="002C0549" w:rsidRDefault="002C0549"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Default="002C0549" w:rsidP="0022405F">
    <w:pPr>
      <w:pStyle w:val="Header"/>
    </w:pPr>
    <w:r>
      <w:rPr>
        <w:rFonts w:ascii="Arial" w:eastAsia="Times New Roman" w:hAnsi="Arial" w:cs="Arial"/>
        <w:bCs/>
        <w:noProof/>
        <w:kern w:val="28"/>
        <w:sz w:val="20"/>
        <w:szCs w:val="20"/>
        <w:lang w:val="en-AU" w:eastAsia="en-AU"/>
      </w:rPr>
      <w:drawing>
        <wp:inline distT="0" distB="0" distL="0" distR="0" wp14:anchorId="72E3E1A5" wp14:editId="2B546191">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2C0549" w:rsidRPr="001C7418" w:rsidRDefault="002C0549" w:rsidP="00224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E24C0C" w:rsidRDefault="002C0549"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870E9C">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2C0549" w:rsidRPr="009D1C81" w:rsidRDefault="002C0549" w:rsidP="00E8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E24C0C" w:rsidRDefault="002C0549"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2C0549" w:rsidRPr="004D6804" w:rsidRDefault="002C0549" w:rsidP="004D68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Pr="00E24C0C" w:rsidRDefault="002C0549"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870E9C">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2C0549" w:rsidRPr="009D1C81" w:rsidRDefault="002C0549"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Default="002C05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9" w:rsidRDefault="002C05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C" w:rsidRPr="00870E9C" w:rsidRDefault="00870E9C" w:rsidP="00870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162AFB"/>
    <w:rsid w:val="001734AE"/>
    <w:rsid w:val="001A3D77"/>
    <w:rsid w:val="001D47F9"/>
    <w:rsid w:val="0022405F"/>
    <w:rsid w:val="00242F9E"/>
    <w:rsid w:val="00244B87"/>
    <w:rsid w:val="002926BA"/>
    <w:rsid w:val="00294035"/>
    <w:rsid w:val="002C0549"/>
    <w:rsid w:val="002C5D23"/>
    <w:rsid w:val="002E38D7"/>
    <w:rsid w:val="002F171D"/>
    <w:rsid w:val="0031476D"/>
    <w:rsid w:val="00320CB2"/>
    <w:rsid w:val="00332C0F"/>
    <w:rsid w:val="0038361A"/>
    <w:rsid w:val="00384340"/>
    <w:rsid w:val="003C30BA"/>
    <w:rsid w:val="0043295D"/>
    <w:rsid w:val="004A6649"/>
    <w:rsid w:val="004A7C22"/>
    <w:rsid w:val="004D6804"/>
    <w:rsid w:val="005128F3"/>
    <w:rsid w:val="00555C29"/>
    <w:rsid w:val="005628FB"/>
    <w:rsid w:val="005A1968"/>
    <w:rsid w:val="005B31E6"/>
    <w:rsid w:val="005E6602"/>
    <w:rsid w:val="00623C1E"/>
    <w:rsid w:val="00725C63"/>
    <w:rsid w:val="00732A2C"/>
    <w:rsid w:val="0079667B"/>
    <w:rsid w:val="007C68C4"/>
    <w:rsid w:val="00801AAC"/>
    <w:rsid w:val="00813711"/>
    <w:rsid w:val="00870E9C"/>
    <w:rsid w:val="00890EAA"/>
    <w:rsid w:val="008A1A63"/>
    <w:rsid w:val="008C74B9"/>
    <w:rsid w:val="008D1E31"/>
    <w:rsid w:val="008E660A"/>
    <w:rsid w:val="008F5555"/>
    <w:rsid w:val="00910DE1"/>
    <w:rsid w:val="009402DC"/>
    <w:rsid w:val="009915B9"/>
    <w:rsid w:val="009D1C81"/>
    <w:rsid w:val="009E071D"/>
    <w:rsid w:val="009E4966"/>
    <w:rsid w:val="00A12B8C"/>
    <w:rsid w:val="00A40556"/>
    <w:rsid w:val="00A56B00"/>
    <w:rsid w:val="00A726B2"/>
    <w:rsid w:val="00B238A1"/>
    <w:rsid w:val="00B3353B"/>
    <w:rsid w:val="00B802FE"/>
    <w:rsid w:val="00C100F0"/>
    <w:rsid w:val="00C5704F"/>
    <w:rsid w:val="00CB1DD9"/>
    <w:rsid w:val="00CC422F"/>
    <w:rsid w:val="00CD5771"/>
    <w:rsid w:val="00D114EF"/>
    <w:rsid w:val="00D1273B"/>
    <w:rsid w:val="00D30F6E"/>
    <w:rsid w:val="00D3682B"/>
    <w:rsid w:val="00D96E05"/>
    <w:rsid w:val="00DB12B3"/>
    <w:rsid w:val="00E24C0C"/>
    <w:rsid w:val="00E45E71"/>
    <w:rsid w:val="00E65199"/>
    <w:rsid w:val="00E851D5"/>
    <w:rsid w:val="00EB5D28"/>
    <w:rsid w:val="00EE3F3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en.wikipedia.org/wiki/File:All_Gizah_Pyramids.jp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emf"/><Relationship Id="rId22" Type="http://schemas.openxmlformats.org/officeDocument/2006/relationships/hyperlink" Target="http://creativecommons.org/licenses/by-sa/2.0/deed.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4A4C-1BDC-40CA-90D3-A6831539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7</cp:revision>
  <cp:lastPrinted>2014-03-28T01:05:00Z</cp:lastPrinted>
  <dcterms:created xsi:type="dcterms:W3CDTF">2014-03-20T01:22:00Z</dcterms:created>
  <dcterms:modified xsi:type="dcterms:W3CDTF">2014-03-28T01:05:00Z</dcterms:modified>
</cp:coreProperties>
</file>